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96"/>
        <w:gridCol w:w="975"/>
        <w:gridCol w:w="2424"/>
        <w:gridCol w:w="21"/>
        <w:gridCol w:w="150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4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成都空御科技有限公司</w:t>
            </w:r>
            <w:bookmarkEnd w:id="7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29.09.01;33.02.01;33.02.04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无人机探测反制系统、无线电监测系统、要地防护系统及无人机系统的技术服务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0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无人机探测反制系统、无线电监测系统、要地防护系统及无人机系统的技术服务</w:t>
            </w:r>
            <w:r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  <w:t>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  <w:t>签订合同</w:t>
            </w: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--客户反馈--派工单---实施技术服务（技术培训、远程程序升级、现场安保技术支持等）--客户确认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服务过程的风险：不能达到客户的技术协议、合同要求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控制措施：按技术服务作业规范、技术服务方案实施。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技术服务方案、客户技术服务合同、协议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检验项目及要求：达到客户合同或技术协议要求。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158750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2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123825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2021.10.21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8C26D4"/>
    <w:rsid w:val="7CB64F96"/>
    <w:rsid w:val="7DE7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2021-10-21T06:24:43Z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