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0521-2020-QEO-2021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重庆能科工程勘察有限公司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417"/>
        <w:gridCol w:w="1005"/>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重庆能科工程勘察有限公司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282" w:type="dxa"/>
            <w:gridSpan w:val="3"/>
          </w:tcPr>
          <w:p>
            <w:bookmarkStart w:id="6" w:name="注册地址"/>
            <w:r>
              <w:t>重庆市南岸区南滨路162号2号楼(重庆能源大厦)11楼</w:t>
            </w:r>
            <w:bookmarkEnd w:id="6"/>
          </w:p>
        </w:tc>
        <w:tc>
          <w:tcPr>
            <w:tcW w:w="1005" w:type="dxa"/>
            <w:vMerge w:val="restart"/>
            <w:vAlign w:val="center"/>
          </w:tcPr>
          <w:p>
            <w:r>
              <w:rPr>
                <w:rFonts w:hint="eastAsia"/>
              </w:rPr>
              <w:t>邮编</w:t>
            </w:r>
          </w:p>
        </w:tc>
        <w:tc>
          <w:tcPr>
            <w:tcW w:w="1771" w:type="dxa"/>
          </w:tcPr>
          <w:p>
            <w:bookmarkStart w:id="7" w:name="注册邮编"/>
            <w:r>
              <w:t>400061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282" w:type="dxa"/>
            <w:gridSpan w:val="3"/>
          </w:tcPr>
          <w:p>
            <w:bookmarkStart w:id="8" w:name="生产地址"/>
            <w:r>
              <w:t>重庆市南岸区南滨路162号2号楼(重庆能源大厦)11楼</w:t>
            </w:r>
            <w:bookmarkEnd w:id="8"/>
          </w:p>
        </w:tc>
        <w:tc>
          <w:tcPr>
            <w:tcW w:w="1005" w:type="dxa"/>
            <w:vMerge w:val="continue"/>
            <w:vAlign w:val="center"/>
          </w:tcPr>
          <w:p/>
        </w:tc>
        <w:tc>
          <w:tcPr>
            <w:tcW w:w="1771" w:type="dxa"/>
          </w:tcPr>
          <w:p>
            <w:bookmarkStart w:id="9" w:name="办公邮编"/>
            <w:r>
              <w:t>400061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陈琳</w:t>
            </w:r>
            <w:bookmarkEnd w:id="10"/>
          </w:p>
        </w:tc>
        <w:tc>
          <w:tcPr>
            <w:tcW w:w="1313" w:type="dxa"/>
            <w:vAlign w:val="center"/>
          </w:tcPr>
          <w:p>
            <w:r>
              <w:rPr>
                <w:rFonts w:hint="eastAsia"/>
              </w:rPr>
              <w:t>电话.</w:t>
            </w:r>
          </w:p>
        </w:tc>
        <w:tc>
          <w:tcPr>
            <w:tcW w:w="2417" w:type="dxa"/>
            <w:vAlign w:val="center"/>
          </w:tcPr>
          <w:p>
            <w:bookmarkStart w:id="11" w:name="联系人电话"/>
            <w:r>
              <w:t>13594220544</w:t>
            </w:r>
            <w:bookmarkEnd w:id="11"/>
          </w:p>
        </w:tc>
        <w:tc>
          <w:tcPr>
            <w:tcW w:w="1005"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李厚庆</w:t>
            </w:r>
            <w:bookmarkEnd w:id="13"/>
          </w:p>
        </w:tc>
        <w:tc>
          <w:tcPr>
            <w:tcW w:w="1313" w:type="dxa"/>
            <w:vAlign w:val="center"/>
          </w:tcPr>
          <w:p>
            <w:r>
              <w:rPr>
                <w:rFonts w:hint="eastAsia"/>
              </w:rPr>
              <w:t>管理者代表</w:t>
            </w:r>
          </w:p>
        </w:tc>
        <w:tc>
          <w:tcPr>
            <w:tcW w:w="2417" w:type="dxa"/>
          </w:tcPr>
          <w:p>
            <w:bookmarkStart w:id="14" w:name="管理者代表"/>
            <w:r>
              <w:t>袁代泽</w:t>
            </w:r>
            <w:bookmarkEnd w:id="14"/>
          </w:p>
        </w:tc>
        <w:tc>
          <w:tcPr>
            <w:tcW w:w="1005"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w:t>
            </w:r>
            <w:r>
              <w:rPr>
                <w:rFonts w:hint="eastAsia"/>
                <w:color w:val="auto"/>
                <w:highlight w:val="none"/>
              </w:rPr>
              <w:sym w:font="Wingdings 2" w:char="0052"/>
            </w:r>
            <w:r>
              <w:rPr>
                <w:rFonts w:hint="eastAsia"/>
                <w:color w:val="auto"/>
                <w:highlight w:val="none"/>
              </w:rPr>
              <w:t>单班□双班□三班□其他</w:t>
            </w: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jc w:val="left"/>
              <w:rPr>
                <w:rFonts w:hint="eastAsia"/>
                <w:szCs w:val="21"/>
              </w:rPr>
            </w:pPr>
            <w:r>
              <w:rPr>
                <w:b/>
                <w:bCs/>
                <w:szCs w:val="21"/>
              </w:rPr>
              <w:t>地质灾害危险性评估、测绘及固体矿产勘查</w:t>
            </w:r>
            <w:r>
              <w:rPr>
                <w:rFonts w:hint="eastAsia"/>
                <w:b/>
                <w:bCs/>
                <w:szCs w:val="21"/>
              </w:rPr>
              <w:t>流程</w:t>
            </w:r>
            <w:r>
              <w:rPr>
                <w:rFonts w:hint="eastAsia"/>
                <w:szCs w:val="21"/>
              </w:rPr>
              <w:t>：</w:t>
            </w:r>
          </w:p>
          <w:p>
            <w:pPr>
              <w:jc w:val="left"/>
              <w:rPr>
                <w:rFonts w:hint="eastAsia"/>
                <w:color w:val="000000"/>
                <w:szCs w:val="21"/>
              </w:rPr>
            </w:pPr>
            <w:r>
              <w:rPr>
                <w:rFonts w:hint="eastAsia"/>
                <w:color w:val="000000"/>
                <w:szCs w:val="21"/>
              </w:rPr>
              <w:t>合同签订</w:t>
            </w:r>
            <w:r>
              <w:rPr>
                <w:color w:val="000000"/>
                <w:szCs w:val="21"/>
              </w:rPr>
              <w:t>-</w:t>
            </w:r>
            <w:r>
              <w:rPr>
                <w:rFonts w:hint="eastAsia"/>
                <w:color w:val="000000"/>
                <w:szCs w:val="21"/>
              </w:rPr>
              <w:t>现场勘查、测量</w:t>
            </w:r>
            <w:r>
              <w:rPr>
                <w:color w:val="000000"/>
                <w:szCs w:val="21"/>
              </w:rPr>
              <w:t>-</w:t>
            </w:r>
            <w:r>
              <w:rPr>
                <w:rFonts w:hint="eastAsia"/>
                <w:color w:val="000000"/>
                <w:szCs w:val="21"/>
              </w:rPr>
              <w:t>编制报告</w:t>
            </w:r>
            <w:r>
              <w:rPr>
                <w:color w:val="000000"/>
                <w:szCs w:val="21"/>
              </w:rPr>
              <w:t>-</w:t>
            </w:r>
            <w:r>
              <w:rPr>
                <w:rFonts w:hint="eastAsia"/>
                <w:color w:val="000000"/>
                <w:szCs w:val="21"/>
              </w:rPr>
              <w:t>内审</w:t>
            </w:r>
            <w:r>
              <w:rPr>
                <w:color w:val="000000"/>
                <w:szCs w:val="21"/>
              </w:rPr>
              <w:t>-</w:t>
            </w:r>
            <w:r>
              <w:rPr>
                <w:rFonts w:hint="eastAsia"/>
                <w:color w:val="000000"/>
                <w:szCs w:val="21"/>
              </w:rPr>
              <w:t>送审</w:t>
            </w:r>
            <w:r>
              <w:rPr>
                <w:color w:val="000000"/>
                <w:szCs w:val="21"/>
              </w:rPr>
              <w:t>—</w:t>
            </w:r>
            <w:r>
              <w:rPr>
                <w:rFonts w:hint="eastAsia"/>
                <w:color w:val="000000"/>
                <w:szCs w:val="21"/>
              </w:rPr>
              <w:t>变更（需要时）</w:t>
            </w:r>
            <w:r>
              <w:rPr>
                <w:color w:val="000000"/>
                <w:szCs w:val="21"/>
              </w:rPr>
              <w:t>-</w:t>
            </w:r>
            <w:r>
              <w:rPr>
                <w:rFonts w:hint="eastAsia"/>
                <w:color w:val="000000"/>
                <w:szCs w:val="21"/>
              </w:rPr>
              <w:t>交付客户</w:t>
            </w:r>
          </w:p>
          <w:p>
            <w:pPr>
              <w:pStyle w:val="2"/>
            </w:pPr>
          </w:p>
          <w:p>
            <w:pPr>
              <w:jc w:val="left"/>
              <w:rPr>
                <w:rFonts w:hint="eastAsia"/>
                <w:b/>
                <w:bCs/>
                <w:szCs w:val="21"/>
              </w:rPr>
            </w:pPr>
            <w:r>
              <w:rPr>
                <w:b/>
                <w:bCs/>
                <w:szCs w:val="21"/>
              </w:rPr>
              <w:t>工程勘察</w:t>
            </w:r>
            <w:r>
              <w:rPr>
                <w:rFonts w:hint="eastAsia"/>
                <w:b/>
                <w:bCs/>
                <w:szCs w:val="21"/>
              </w:rPr>
              <w:t>流程：</w:t>
            </w:r>
          </w:p>
          <w:p>
            <w:pPr>
              <w:spacing w:line="360" w:lineRule="auto"/>
              <w:jc w:val="left"/>
            </w:pPr>
            <w:r>
              <w:rPr>
                <w:rFonts w:hint="eastAsia"/>
                <w:color w:val="000000"/>
                <w:szCs w:val="21"/>
              </w:rPr>
              <w:t>合同签订</w:t>
            </w:r>
            <w:r>
              <w:rPr>
                <w:color w:val="000000"/>
                <w:szCs w:val="21"/>
              </w:rPr>
              <w:t>-</w:t>
            </w:r>
            <w:r>
              <w:rPr>
                <w:rFonts w:hint="eastAsia"/>
                <w:color w:val="000000"/>
                <w:szCs w:val="21"/>
              </w:rPr>
              <w:t>现场勘查、测量、施工</w:t>
            </w:r>
            <w:r>
              <w:rPr>
                <w:color w:val="000000"/>
                <w:szCs w:val="21"/>
              </w:rPr>
              <w:t>-</w:t>
            </w:r>
            <w:r>
              <w:rPr>
                <w:rFonts w:hint="eastAsia"/>
                <w:color w:val="000000"/>
                <w:szCs w:val="21"/>
              </w:rPr>
              <w:t>编制报告</w:t>
            </w:r>
            <w:r>
              <w:rPr>
                <w:color w:val="000000"/>
                <w:szCs w:val="21"/>
              </w:rPr>
              <w:t>-</w:t>
            </w:r>
            <w:r>
              <w:rPr>
                <w:rFonts w:hint="eastAsia"/>
                <w:color w:val="000000"/>
                <w:szCs w:val="21"/>
              </w:rPr>
              <w:t>内审</w:t>
            </w:r>
            <w:r>
              <w:rPr>
                <w:color w:val="000000"/>
                <w:szCs w:val="21"/>
              </w:rPr>
              <w:t>-</w:t>
            </w:r>
            <w:r>
              <w:rPr>
                <w:rFonts w:hint="eastAsia"/>
                <w:color w:val="000000"/>
                <w:szCs w:val="21"/>
              </w:rPr>
              <w:t>送审</w:t>
            </w:r>
            <w:r>
              <w:rPr>
                <w:color w:val="000000"/>
                <w:szCs w:val="21"/>
              </w:rPr>
              <w:t>—</w:t>
            </w:r>
            <w:r>
              <w:rPr>
                <w:rFonts w:hint="eastAsia"/>
                <w:color w:val="000000"/>
                <w:szCs w:val="21"/>
              </w:rPr>
              <w:t>变更（需要时）</w:t>
            </w:r>
            <w:r>
              <w:rPr>
                <w:color w:val="000000"/>
                <w:szCs w:val="21"/>
              </w:rPr>
              <w:t>-</w:t>
            </w:r>
            <w:r>
              <w:rPr>
                <w:rFonts w:hint="eastAsia"/>
                <w:color w:val="000000"/>
                <w:szCs w:val="21"/>
              </w:rPr>
              <w:t>交付客户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2021年10月14日 上午至2021年10月14日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Q：资质范围内工程勘察（岩土工程、工程测量、水文地质）、地质灾害危险性评估、测绘及固体矿产勘查</w:t>
            </w:r>
          </w:p>
          <w:p>
            <w:r>
              <w:t>E：资质范围内工程勘察（岩土工程、工程测量、水文地质）、地质灾害危险性评估、测绘及固体矿产勘查所涉及的相关环境管理活动</w:t>
            </w:r>
          </w:p>
          <w:p>
            <w:r>
              <w:t>O：资质范围内工程勘察（岩土工程、工程测量、水文地质）、地质灾害危险性评估、测绘及固体矿产勘查所涉及的相关职业健康安全管理活动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Q：34.01.02;34.06.00</w:t>
            </w:r>
          </w:p>
          <w:p>
            <w:r>
              <w:t>E：34.01.02;34.06.00</w:t>
            </w:r>
          </w:p>
          <w:p>
            <w:r>
              <w:t>O：34.01.02;34.06.00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val="de-DE"/>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color w:val="000000"/>
                <w:kern w:val="0"/>
                <w:sz w:val="21"/>
                <w:szCs w:val="21"/>
              </w:rPr>
              <w:t>2020年5月1日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2020年10月10日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2023年10月13日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71"/>
        <w:gridCol w:w="1250"/>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71" w:type="dxa"/>
            <w:shd w:val="clear" w:color="auto" w:fill="F3F3F3"/>
            <w:tcMar>
              <w:left w:w="57" w:type="dxa"/>
              <w:right w:w="57" w:type="dxa"/>
            </w:tcMar>
          </w:tcPr>
          <w:p>
            <w:r>
              <w:rPr>
                <w:rFonts w:hint="eastAsia"/>
              </w:rPr>
              <w:t>审核范围（产品和过程）</w:t>
            </w:r>
          </w:p>
          <w:p/>
          <w:p/>
        </w:tc>
        <w:tc>
          <w:tcPr>
            <w:tcW w:w="1250" w:type="dxa"/>
            <w:shd w:val="clear" w:color="auto" w:fill="F3F3F3"/>
            <w:tcMar>
              <w:left w:w="57" w:type="dxa"/>
              <w:right w:w="57" w:type="dxa"/>
            </w:tcMar>
          </w:tcPr>
          <w:p>
            <w:r>
              <w:rPr>
                <w:rFonts w:hint="eastAsia"/>
              </w:rPr>
              <w:t>标准</w:t>
            </w:r>
          </w:p>
        </w:tc>
        <w:tc>
          <w:tcPr>
            <w:tcW w:w="519"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重庆能科工程勘察有限公司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重庆市南岸区南滨路162号2号楼(重庆能源大厦)11楼</w:t>
            </w:r>
          </w:p>
        </w:tc>
        <w:tc>
          <w:tcPr>
            <w:tcW w:w="2267" w:type="dxa"/>
          </w:tcPr>
          <w:p>
            <w:pPr>
              <w:rPr>
                <w:lang w:val="de-DE" w:eastAsia="ja-JP"/>
              </w:rPr>
            </w:pPr>
            <w:r>
              <w:rPr>
                <w:rFonts w:hint="eastAsia" w:ascii="宋体" w:hAnsi="宋体" w:cs="宋体"/>
                <w:color w:val="000000"/>
                <w:kern w:val="0"/>
                <w:szCs w:val="21"/>
              </w:rPr>
              <w:t>重庆市南岸区南滨路162号2号楼(重庆能源大厦)11楼</w:t>
            </w:r>
          </w:p>
        </w:tc>
        <w:tc>
          <w:tcPr>
            <w:tcW w:w="571" w:type="dxa"/>
            <w:vAlign w:val="center"/>
          </w:tcPr>
          <w:p>
            <w:pPr>
              <w:rPr>
                <w:rFonts w:hint="default" w:eastAsia="宋体"/>
                <w:lang w:val="en-US" w:eastAsia="zh-CN"/>
              </w:rPr>
            </w:pPr>
            <w:r>
              <w:rPr>
                <w:rFonts w:hint="eastAsia"/>
                <w:lang w:val="en-US" w:eastAsia="zh-CN"/>
              </w:rPr>
              <w:t>41</w:t>
            </w:r>
          </w:p>
        </w:tc>
        <w:tc>
          <w:tcPr>
            <w:tcW w:w="2371" w:type="dxa"/>
            <w:vAlign w:val="center"/>
          </w:tcPr>
          <w:p>
            <w:pPr>
              <w:rPr>
                <w:rFonts w:hint="default" w:eastAsia="宋体"/>
                <w:lang w:val="en-US" w:eastAsia="zh-CN"/>
              </w:rPr>
            </w:pPr>
            <w:r>
              <w:rPr>
                <w:rFonts w:ascii="宋体" w:hAnsi="宋体" w:cs="宋体"/>
                <w:color w:val="000000"/>
                <w:kern w:val="0"/>
                <w:szCs w:val="21"/>
              </w:rPr>
              <w:t>资质范围内工程勘察（岩土工程、工程测量、水文地质）、地质灾害危险性评估、测绘及固体矿产勘查</w:t>
            </w:r>
            <w:r>
              <w:rPr>
                <w:rFonts w:hint="eastAsia" w:ascii="宋体" w:hAnsi="宋体" w:cs="宋体"/>
                <w:color w:val="000000"/>
                <w:kern w:val="0"/>
                <w:szCs w:val="21"/>
                <w:lang w:val="en-US" w:eastAsia="zh-CN"/>
              </w:rPr>
              <w:t>所涉及的相关活动</w:t>
            </w:r>
          </w:p>
        </w:tc>
        <w:tc>
          <w:tcPr>
            <w:tcW w:w="1250" w:type="dxa"/>
            <w:vAlign w:val="center"/>
          </w:tcPr>
          <w:p>
            <w:pPr>
              <w:jc w:val="left"/>
              <w:rPr>
                <w:lang w:eastAsia="ja-JP"/>
              </w:rPr>
            </w:pPr>
            <w:bookmarkStart w:id="31" w:name="审核依据"/>
            <w:r>
              <w:rPr>
                <w:rFonts w:ascii="宋体" w:hAnsi="宋体" w:cs="宋体"/>
                <w:color w:val="000000"/>
                <w:kern w:val="0"/>
                <w:szCs w:val="21"/>
              </w:rPr>
              <w:t>GB/T19001-2016</w:t>
            </w:r>
            <w:r>
              <w:rPr>
                <w:rFonts w:hint="eastAsia" w:ascii="宋体" w:hAnsi="宋体" w:cs="宋体"/>
                <w:color w:val="000000"/>
                <w:kern w:val="0"/>
                <w:szCs w:val="21"/>
                <w:lang w:eastAsia="zh-CN"/>
              </w:rPr>
              <w:t>；</w:t>
            </w:r>
            <w:r>
              <w:rPr>
                <w:rFonts w:ascii="宋体" w:hAnsi="宋体" w:cs="宋体"/>
                <w:color w:val="000000"/>
                <w:kern w:val="0"/>
                <w:szCs w:val="21"/>
              </w:rPr>
              <w:t>GB/T 24001-2016</w:t>
            </w:r>
            <w:r>
              <w:rPr>
                <w:rFonts w:hint="eastAsia" w:ascii="宋体" w:hAnsi="宋体" w:cs="宋体"/>
                <w:color w:val="000000"/>
                <w:kern w:val="0"/>
                <w:szCs w:val="21"/>
                <w:lang w:eastAsia="zh-CN"/>
              </w:rPr>
              <w:t>；</w:t>
            </w:r>
            <w:r>
              <w:rPr>
                <w:rFonts w:ascii="宋体" w:hAnsi="宋体" w:cs="宋体"/>
                <w:color w:val="000000"/>
                <w:kern w:val="0"/>
                <w:szCs w:val="21"/>
              </w:rPr>
              <w:t xml:space="preserve">GB/T45001-2020 </w:t>
            </w:r>
            <w:bookmarkEnd w:id="31"/>
          </w:p>
        </w:tc>
        <w:tc>
          <w:tcPr>
            <w:tcW w:w="519"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rFonts w:hint="eastAsia" w:ascii="宋体" w:hAnsi="宋体" w:cs="宋体"/>
                <w:color w:val="000000"/>
                <w:kern w:val="0"/>
                <w:szCs w:val="21"/>
                <w:lang w:eastAsia="ja-JP"/>
              </w:rPr>
            </w:pPr>
            <w:r>
              <w:rPr>
                <w:rFonts w:hint="eastAsia" w:ascii="宋体" w:hAnsi="宋体" w:cs="宋体"/>
                <w:color w:val="000000"/>
                <w:kern w:val="0"/>
                <w:szCs w:val="21"/>
              </w:rPr>
              <w:t>龙门浩老街拓展区边坡监测</w:t>
            </w:r>
          </w:p>
        </w:tc>
        <w:tc>
          <w:tcPr>
            <w:tcW w:w="2267" w:type="dxa"/>
            <w:vAlign w:val="center"/>
          </w:tcPr>
          <w:p>
            <w:pPr>
              <w:rPr>
                <w:rFonts w:hint="eastAsia" w:ascii="宋体" w:hAnsi="宋体" w:cs="宋体"/>
                <w:color w:val="000000"/>
                <w:kern w:val="0"/>
                <w:szCs w:val="21"/>
                <w:lang w:eastAsia="ja-JP"/>
              </w:rPr>
            </w:pPr>
            <w:r>
              <w:rPr>
                <w:rFonts w:hint="eastAsia" w:ascii="宋体" w:hAnsi="宋体" w:cs="宋体"/>
                <w:color w:val="000000"/>
                <w:kern w:val="0"/>
                <w:szCs w:val="21"/>
              </w:rPr>
              <w:t>重庆市南岸区南滨路105号</w:t>
            </w:r>
          </w:p>
        </w:tc>
        <w:tc>
          <w:tcPr>
            <w:tcW w:w="571" w:type="dxa"/>
            <w:vAlign w:val="center"/>
          </w:tcPr>
          <w:p>
            <w:pPr>
              <w:rPr>
                <w:rFonts w:hint="eastAsia" w:eastAsia="宋体"/>
                <w:lang w:val="en-US" w:eastAsia="zh-CN"/>
              </w:rPr>
            </w:pPr>
            <w:r>
              <w:rPr>
                <w:rFonts w:hint="eastAsia"/>
                <w:lang w:val="en-US" w:eastAsia="zh-CN"/>
              </w:rPr>
              <w:t>4</w:t>
            </w:r>
          </w:p>
        </w:tc>
        <w:tc>
          <w:tcPr>
            <w:tcW w:w="2371" w:type="dxa"/>
            <w:vAlign w:val="center"/>
          </w:tcPr>
          <w:p>
            <w:pPr>
              <w:rPr>
                <w:lang w:eastAsia="ja-JP"/>
              </w:rPr>
            </w:pPr>
            <w:r>
              <w:rPr>
                <w:rFonts w:ascii="宋体" w:hAnsi="宋体" w:cs="宋体"/>
                <w:color w:val="000000"/>
                <w:kern w:val="0"/>
                <w:szCs w:val="21"/>
              </w:rPr>
              <w:t>资质范围内工程勘察（岩土工程、工程测量、水文地质）、地质灾害危险性评估、测绘及固体矿产勘查</w:t>
            </w:r>
          </w:p>
        </w:tc>
        <w:tc>
          <w:tcPr>
            <w:tcW w:w="1250" w:type="dxa"/>
            <w:vAlign w:val="center"/>
          </w:tcPr>
          <w:p>
            <w:pPr>
              <w:rPr>
                <w:lang w:eastAsia="ja-JP"/>
              </w:rPr>
            </w:pPr>
            <w:r>
              <w:rPr>
                <w:rFonts w:ascii="宋体" w:hAnsi="宋体" w:cs="宋体"/>
                <w:color w:val="000000"/>
                <w:kern w:val="0"/>
                <w:szCs w:val="21"/>
              </w:rPr>
              <w:t>GB/T19001-2016</w:t>
            </w:r>
            <w:r>
              <w:rPr>
                <w:rFonts w:hint="eastAsia" w:ascii="宋体" w:hAnsi="宋体" w:cs="宋体"/>
                <w:color w:val="000000"/>
                <w:kern w:val="0"/>
                <w:szCs w:val="21"/>
                <w:lang w:eastAsia="zh-CN"/>
              </w:rPr>
              <w:t>；</w:t>
            </w:r>
            <w:r>
              <w:rPr>
                <w:rFonts w:ascii="宋体" w:hAnsi="宋体" w:cs="宋体"/>
                <w:color w:val="000000"/>
                <w:kern w:val="0"/>
                <w:szCs w:val="21"/>
              </w:rPr>
              <w:t>GB/T 24001-2016</w:t>
            </w:r>
            <w:r>
              <w:rPr>
                <w:rFonts w:hint="eastAsia" w:ascii="宋体" w:hAnsi="宋体" w:cs="宋体"/>
                <w:color w:val="000000"/>
                <w:kern w:val="0"/>
                <w:szCs w:val="21"/>
                <w:lang w:eastAsia="zh-CN"/>
              </w:rPr>
              <w:t>；</w:t>
            </w:r>
            <w:r>
              <w:rPr>
                <w:rFonts w:ascii="宋体" w:hAnsi="宋体" w:cs="宋体"/>
                <w:color w:val="000000"/>
                <w:kern w:val="0"/>
                <w:szCs w:val="21"/>
              </w:rPr>
              <w:t xml:space="preserve">GB/T45001-2020 </w:t>
            </w:r>
          </w:p>
        </w:tc>
        <w:tc>
          <w:tcPr>
            <w:tcW w:w="519"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71" w:type="dxa"/>
            <w:vAlign w:val="center"/>
          </w:tcPr>
          <w:p>
            <w:pPr>
              <w:rPr>
                <w:lang w:eastAsia="ja-JP"/>
              </w:rPr>
            </w:pPr>
          </w:p>
        </w:tc>
        <w:tc>
          <w:tcPr>
            <w:tcW w:w="1250" w:type="dxa"/>
            <w:vAlign w:val="center"/>
          </w:tcPr>
          <w:p>
            <w:pPr>
              <w:rPr>
                <w:lang w:eastAsia="ja-JP"/>
              </w:rPr>
            </w:pPr>
          </w:p>
        </w:tc>
        <w:tc>
          <w:tcPr>
            <w:tcW w:w="519"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Q:34.01.02,34.06.00</w:t>
            </w:r>
          </w:p>
          <w:p>
            <w:r>
              <w:t>E:34.01.02,34.06.00</w:t>
            </w:r>
          </w:p>
          <w:p>
            <w:r>
              <w:t>O:34.01.02,34.06.00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2018-N1EMS-1230067</w:t>
            </w:r>
          </w:p>
          <w:p>
            <w:r>
              <w:t>2021-N1OHSMS-2230067</w:t>
            </w:r>
          </w:p>
        </w:tc>
        <w:tc>
          <w:tcPr>
            <w:tcW w:w="2179" w:type="dxa"/>
            <w:vAlign w:val="center"/>
          </w:tcPr>
          <w:p>
            <w:r>
              <w:t>Q:34.06.00</w:t>
            </w:r>
          </w:p>
          <w:p>
            <w:r>
              <w:t>E:34.06.00</w:t>
            </w:r>
          </w:p>
          <w:p>
            <w:r>
              <w:t>O:34.01.02,34.06.00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p>
            <w:r>
              <w:t>2019-N1EMS-1242345</w:t>
            </w:r>
          </w:p>
        </w:tc>
        <w:tc>
          <w:tcPr>
            <w:tcW w:w="2179" w:type="dxa"/>
            <w:vAlign w:val="center"/>
          </w:tcPr>
          <w:p>
            <w:r>
              <w:t>Q:34.06.00</w:t>
            </w:r>
          </w:p>
          <w:p>
            <w:r>
              <w:t>E:34.01.02,34.06.00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w:t>
      </w:r>
      <w:r>
        <w:rPr>
          <w:rFonts w:hint="eastAsia"/>
          <w:lang w:val="de-DE"/>
        </w:rPr>
        <w:t>■</w:t>
      </w:r>
      <w:r>
        <w:rPr>
          <w:rFonts w:hint="eastAsia"/>
        </w:rPr>
        <w:t>EMS</w:t>
      </w:r>
      <w:r>
        <w:rPr>
          <w:rFonts w:hint="eastAsia"/>
          <w:lang w:val="de-DE"/>
        </w:rPr>
        <w:t>■</w:t>
      </w:r>
      <w:r>
        <w:rPr>
          <w:rFonts w:hint="eastAsia"/>
        </w:rPr>
        <w:t>OHSMS）</w:t>
      </w:r>
    </w:p>
    <w:tbl>
      <w:tblPr>
        <w:tblStyle w:val="9"/>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shd w:val="clear" w:color="auto" w:fill="D7D7D7" w:themeFill="background1" w:themeFillShade="D8"/>
          </w:tcPr>
          <w:p>
            <w:pPr>
              <w:rPr>
                <w:color w:val="auto"/>
              </w:rPr>
            </w:pPr>
            <w:r>
              <w:rPr>
                <w:rFonts w:hint="eastAsia"/>
                <w:color w:val="auto"/>
              </w:rPr>
              <w:t>审核周期</w:t>
            </w:r>
          </w:p>
        </w:tc>
        <w:tc>
          <w:tcPr>
            <w:tcW w:w="8654" w:type="dxa"/>
            <w:shd w:val="clear" w:color="auto" w:fill="D7D7D7" w:themeFill="background1" w:themeFillShade="D8"/>
          </w:tcPr>
          <w:p>
            <w:pPr>
              <w:rPr>
                <w:color w:val="auto"/>
              </w:rPr>
            </w:pPr>
            <w:r>
              <w:rPr>
                <w:rFonts w:hint="eastAsia"/>
                <w:color w:val="auto"/>
              </w:rPr>
              <w:t>□体系建立以来</w:t>
            </w:r>
            <w:r>
              <w:rPr>
                <w:rFonts w:hint="eastAsia"/>
                <w:lang w:val="de-DE"/>
              </w:rPr>
              <w:t>■</w:t>
            </w:r>
            <w:r>
              <w:rPr>
                <w:rFonts w:hint="eastAsia"/>
                <w:color w:val="auto"/>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auto"/>
                <w:lang w:val="en-US" w:eastAsia="zh-CN"/>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未出现类似情况发生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widowControl/>
              <w:jc w:val="left"/>
            </w:pPr>
            <w:r>
              <w:rPr>
                <w:rFonts w:ascii="宋体" w:hAnsi="宋体" w:cs="宋体"/>
                <w:color w:val="000000"/>
                <w:kern w:val="0"/>
                <w:szCs w:val="21"/>
              </w:rPr>
              <w:t>资质范围内工程勘察（岩土工程、工程测量、水文地质）、地质灾害危险性评估、测绘及固体矿产勘查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widowControl/>
              <w:jc w:val="left"/>
            </w:pPr>
            <w:r>
              <w:rPr>
                <w:rFonts w:ascii="宋体" w:hAnsi="宋体" w:cs="宋体"/>
                <w:color w:val="000000"/>
                <w:kern w:val="0"/>
                <w:szCs w:val="21"/>
              </w:rPr>
              <w:t>资质范围内工程勘察（岩土工程、工程测量、水文地质）、地质灾害危险性评估、测绘及固体矿产勘查所涉及的相关环境管理活动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ascii="宋体" w:hAnsi="宋体" w:cs="宋体"/>
                <w:color w:val="000000"/>
                <w:kern w:val="0"/>
                <w:szCs w:val="21"/>
              </w:rPr>
              <w:t>资质范围内工程勘察（岩土工程、工程测量、水文地质）、地质灾害危险性评估、测绘及固体矿产勘查所涉及的相关职业健康安全管理活动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exact"/>
          <w:jc w:val="center"/>
        </w:trPr>
        <w:tc>
          <w:tcPr>
            <w:tcW w:w="1842" w:type="dxa"/>
          </w:tcPr>
          <w:p>
            <w:r>
              <w:rPr>
                <w:rFonts w:hint="eastAsia"/>
              </w:rPr>
              <w:t>审核组长签字</w:t>
            </w:r>
          </w:p>
        </w:tc>
        <w:tc>
          <w:tcPr>
            <w:tcW w:w="2764" w:type="dxa"/>
            <w:tcMar>
              <w:left w:w="113" w:type="dxa"/>
            </w:tcMar>
          </w:tcPr>
          <w:p>
            <w:r>
              <w:rPr>
                <w:rFonts w:ascii="宋体" w:hAnsi="宋体"/>
              </w:rPr>
              <w:drawing>
                <wp:anchor distT="0" distB="0" distL="114300" distR="114300" simplePos="0" relativeHeight="251659264" behindDoc="0" locked="0" layoutInCell="1" allowOverlap="1">
                  <wp:simplePos x="0" y="0"/>
                  <wp:positionH relativeFrom="column">
                    <wp:posOffset>64135</wp:posOffset>
                  </wp:positionH>
                  <wp:positionV relativeFrom="paragraph">
                    <wp:posOffset>54610</wp:posOffset>
                  </wp:positionV>
                  <wp:extent cx="335280" cy="344805"/>
                  <wp:effectExtent l="0" t="0" r="7620" b="17145"/>
                  <wp:wrapNone/>
                  <wp:docPr id="1"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新文档 2019-09-04 21.08.47.jpg"/>
                          <pic:cNvPicPr>
                            <a:picLocks noChangeAspect="1"/>
                          </pic:cNvPicPr>
                        </pic:nvPicPr>
                        <pic:blipFill>
                          <a:blip r:embed="rId6"/>
                          <a:stretch>
                            <a:fillRect/>
                          </a:stretch>
                        </pic:blipFill>
                        <pic:spPr>
                          <a:xfrm>
                            <a:off x="0" y="0"/>
                            <a:ext cx="335280" cy="34480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lang w:val="en-US" w:eastAsia="zh-CN"/>
        </w:rPr>
        <w:t xml:space="preserve"> </w:t>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■技术 ■竞争 ■市场 ■文化 ■社会 ■经济环境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w:t>
            </w:r>
            <w:r>
              <w:rPr>
                <w:rFonts w:hint="eastAsia"/>
              </w:rPr>
              <w:sym w:font="Wingdings 2" w:char="00A3"/>
            </w:r>
            <w:r>
              <w:rPr>
                <w:rFonts w:hint="eastAsia"/>
              </w:rPr>
              <w:t xml:space="preserve">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ascii="Times New Roman" w:hAnsi="Times New Roman" w:eastAsia="宋体" w:cs="Times New Roman"/>
                <w:kern w:val="2"/>
                <w:sz w:val="21"/>
                <w:szCs w:val="24"/>
                <w:u w:val="single"/>
                <w:lang w:val="en-US" w:eastAsia="zh-CN" w:bidi="ar-SA"/>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u w:val="single"/>
              </w:rPr>
              <w:t xml:space="preserve"> </w:t>
            </w:r>
            <w:r>
              <w:rPr>
                <w:rFonts w:hint="eastAsia" w:ascii="Times New Roman" w:hAnsi="Times New Roman" w:eastAsia="宋体" w:cs="Times New Roman"/>
                <w:kern w:val="2"/>
                <w:sz w:val="21"/>
                <w:szCs w:val="24"/>
                <w:u w:val="single"/>
                <w:lang w:val="en-US" w:eastAsia="zh-CN" w:bidi="ar-SA"/>
              </w:rPr>
              <w:t xml:space="preserve"> “精细勘查、精确测绘、精心勘察、精准评估；探各色矿产，求绿色开发，资源必有限，保护须无涯；勘测有风险，进退察安危。防患于未然，野外无忧归。”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1、由</w:t>
                  </w:r>
                  <w:r>
                    <w:rPr>
                      <w:rFonts w:hint="eastAsia" w:cs="Times New Roman"/>
                      <w:b w:val="0"/>
                      <w:bCs w:val="0"/>
                      <w:highlight w:val="none"/>
                      <w:lang w:val="en-US" w:eastAsia="zh-CN"/>
                    </w:rPr>
                    <w:t>公司</w:t>
                  </w:r>
                  <w:r>
                    <w:rPr>
                      <w:rFonts w:hint="eastAsia" w:ascii="Times New Roman" w:hAnsi="Times New Roman" w:eastAsia="宋体" w:cs="Times New Roman"/>
                      <w:b w:val="0"/>
                      <w:bCs w:val="0"/>
                      <w:highlight w:val="none"/>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highlight w:val="none"/>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26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7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vAlign w:val="top"/>
                </w:tcPr>
                <w:p>
                  <w:pPr>
                    <w:shd w:val="clear" w:color="auto" w:fill="C7DAF1" w:themeFill="text2" w:themeFillTint="32"/>
                    <w:rPr>
                      <w:rFonts w:hint="eastAsia"/>
                      <w:lang w:val="en-US" w:eastAsia="zh-CN"/>
                    </w:rPr>
                  </w:pPr>
                  <w:r>
                    <w:rPr>
                      <w:rFonts w:hint="eastAsia"/>
                    </w:rPr>
                    <w:t>顾客投诉≤3次/年；</w:t>
                  </w:r>
                </w:p>
              </w:tc>
              <w:tc>
                <w:tcPr>
                  <w:tcW w:w="2673" w:type="dxa"/>
                  <w:shd w:val="clear" w:color="auto" w:fill="auto"/>
                  <w:vAlign w:val="center"/>
                </w:tcPr>
                <w:p>
                  <w:pPr>
                    <w:shd w:val="clear" w:color="auto" w:fill="C7DAF1" w:themeFill="text2" w:themeFillTint="32"/>
                    <w:rPr>
                      <w:rFonts w:hint="eastAsia"/>
                      <w:lang w:val="en-GB" w:eastAsia="zh-CN"/>
                    </w:rPr>
                  </w:pPr>
                  <w:r>
                    <w:rPr>
                      <w:rFonts w:hint="eastAsia"/>
                    </w:rPr>
                    <w:t>顾客投诉发生数</w:t>
                  </w:r>
                </w:p>
              </w:tc>
              <w:tc>
                <w:tcPr>
                  <w:tcW w:w="1350"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 xml:space="preserve">全部门 </w:t>
                  </w:r>
                </w:p>
              </w:tc>
              <w:tc>
                <w:tcPr>
                  <w:tcW w:w="1774" w:type="dxa"/>
                  <w:shd w:val="clear" w:color="auto" w:fill="auto"/>
                  <w:vAlign w:val="center"/>
                </w:tcPr>
                <w:p>
                  <w:pPr>
                    <w:shd w:val="clear" w:color="auto" w:fill="C7DAF1" w:themeFill="text2" w:themeFillTint="32"/>
                    <w:rPr>
                      <w:rFonts w:hint="default"/>
                      <w:lang w:val="en-GB" w:eastAsia="zh-CN"/>
                    </w:rPr>
                  </w:pPr>
                  <w:r>
                    <w:rPr>
                      <w:rFonts w:hint="eastAsia"/>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vAlign w:val="top"/>
                </w:tcPr>
                <w:p>
                  <w:pPr>
                    <w:shd w:val="clear" w:color="auto" w:fill="C7DAF1" w:themeFill="text2" w:themeFillTint="32"/>
                    <w:rPr>
                      <w:rFonts w:hint="eastAsia"/>
                      <w:lang w:val="en-US" w:eastAsia="zh-CN"/>
                    </w:rPr>
                  </w:pPr>
                  <w:r>
                    <w:rPr>
                      <w:rFonts w:hint="eastAsia"/>
                    </w:rPr>
                    <w:t>项目服务合格率100﹪；</w:t>
                  </w:r>
                </w:p>
              </w:tc>
              <w:tc>
                <w:tcPr>
                  <w:tcW w:w="2673" w:type="dxa"/>
                  <w:shd w:val="clear" w:color="auto" w:fill="auto"/>
                  <w:vAlign w:val="center"/>
                </w:tcPr>
                <w:p>
                  <w:pPr>
                    <w:shd w:val="clear" w:color="auto" w:fill="C7DAF1" w:themeFill="text2" w:themeFillTint="32"/>
                    <w:rPr>
                      <w:rFonts w:hint="eastAsia"/>
                      <w:lang w:val="en-US" w:eastAsia="zh-CN"/>
                    </w:rPr>
                  </w:pPr>
                  <w:r>
                    <w:rPr>
                      <w:rFonts w:hint="eastAsia"/>
                    </w:rPr>
                    <w:t>一次合格次数÷总次数×100%</w:t>
                  </w:r>
                </w:p>
              </w:tc>
              <w:tc>
                <w:tcPr>
                  <w:tcW w:w="1350"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 xml:space="preserve">全部门 </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vAlign w:val="top"/>
                </w:tcPr>
                <w:p>
                  <w:pPr>
                    <w:shd w:val="clear" w:color="auto" w:fill="C7DAF1" w:themeFill="text2" w:themeFillTint="32"/>
                    <w:rPr>
                      <w:rFonts w:hint="eastAsia"/>
                      <w:lang w:val="en-US" w:eastAsia="zh-CN"/>
                    </w:rPr>
                  </w:pPr>
                  <w:r>
                    <w:rPr>
                      <w:rFonts w:hint="eastAsia"/>
                    </w:rPr>
                    <w:t>满意率调查得分95分以上</w:t>
                  </w:r>
                </w:p>
              </w:tc>
              <w:tc>
                <w:tcPr>
                  <w:tcW w:w="2673" w:type="dxa"/>
                  <w:shd w:val="clear" w:color="auto" w:fill="auto"/>
                  <w:vAlign w:val="center"/>
                </w:tcPr>
                <w:p>
                  <w:pPr>
                    <w:shd w:val="clear" w:color="auto" w:fill="C7DAF1" w:themeFill="text2" w:themeFillTint="32"/>
                    <w:rPr>
                      <w:rFonts w:hint="eastAsia"/>
                      <w:lang w:val="en-US" w:eastAsia="zh-CN"/>
                    </w:rPr>
                  </w:pPr>
                  <w:r>
                    <w:rPr>
                      <w:rFonts w:hint="eastAsia"/>
                    </w:rPr>
                    <w:t>问卷调查平均分</w:t>
                  </w:r>
                </w:p>
              </w:tc>
              <w:tc>
                <w:tcPr>
                  <w:tcW w:w="1350"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tcPr>
                <w:p>
                  <w:pPr>
                    <w:shd w:val="clear" w:color="auto" w:fill="C7DAF1" w:themeFill="text2" w:themeFillTint="32"/>
                    <w:rPr>
                      <w:rFonts w:hint="eastAsia"/>
                    </w:rPr>
                  </w:pPr>
                </w:p>
              </w:tc>
              <w:tc>
                <w:tcPr>
                  <w:tcW w:w="2673" w:type="dxa"/>
                  <w:shd w:val="clear" w:color="auto" w:fill="auto"/>
                  <w:vAlign w:val="center"/>
                </w:tcPr>
                <w:p>
                  <w:pPr>
                    <w:shd w:val="clear" w:color="auto" w:fill="C7DAF1" w:themeFill="text2" w:themeFillTint="32"/>
                    <w:rPr>
                      <w:rFonts w:hint="eastAsia"/>
                    </w:rPr>
                  </w:pPr>
                </w:p>
              </w:tc>
              <w:tc>
                <w:tcPr>
                  <w:tcW w:w="1350" w:type="dxa"/>
                  <w:shd w:val="clear" w:color="auto" w:fill="auto"/>
                  <w:vAlign w:val="center"/>
                </w:tcPr>
                <w:p>
                  <w:pPr>
                    <w:shd w:val="clear" w:color="auto" w:fill="C7DAF1" w:themeFill="text2" w:themeFillTint="32"/>
                    <w:rPr>
                      <w:rFonts w:hint="eastAsia"/>
                    </w:rPr>
                  </w:pPr>
                </w:p>
              </w:tc>
              <w:tc>
                <w:tcPr>
                  <w:tcW w:w="1774" w:type="dxa"/>
                  <w:shd w:val="clear" w:color="auto" w:fill="auto"/>
                  <w:vAlign w:val="center"/>
                </w:tcPr>
                <w:p>
                  <w:pPr>
                    <w:shd w:val="clear" w:color="auto" w:fill="C7DAF1" w:themeFill="text2"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4" w:type="dxa"/>
                  <w:shd w:val="clear" w:color="auto" w:fill="auto"/>
                </w:tcPr>
                <w:p>
                  <w:pPr>
                    <w:shd w:val="clear" w:color="auto" w:fill="C7DAF1" w:themeFill="text2" w:themeFillTint="32"/>
                  </w:pPr>
                </w:p>
              </w:tc>
              <w:tc>
                <w:tcPr>
                  <w:tcW w:w="2673"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w:t>
            </w:r>
            <w:r>
              <w:rPr>
                <w:rFonts w:hint="eastAsia"/>
                <w:highlight w:val="none"/>
              </w:rPr>
              <w:t>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highlight w:val="yellow"/>
                <w:u w:val="single"/>
              </w:rPr>
            </w:pPr>
            <w:r>
              <w:rPr>
                <w:rFonts w:hint="eastAsia"/>
                <w:highlight w:val="none"/>
              </w:rPr>
              <w:t>主要生产设备有：</w:t>
            </w:r>
            <w:r>
              <w:rPr>
                <w:rFonts w:hint="eastAsia" w:ascii="宋体" w:hAnsi="宋体" w:cs="宋体"/>
                <w:szCs w:val="21"/>
                <w:highlight w:val="none"/>
              </w:rPr>
              <w:t>办公设</w:t>
            </w:r>
            <w:r>
              <w:rPr>
                <w:rFonts w:hint="eastAsia" w:ascii="宋体" w:hAnsi="宋体" w:cs="宋体"/>
                <w:szCs w:val="21"/>
              </w:rPr>
              <w:t>备、电脑、</w:t>
            </w:r>
            <w:r>
              <w:rPr>
                <w:rFonts w:hint="eastAsia"/>
                <w:szCs w:val="21"/>
              </w:rPr>
              <w:t>GNSS接收机、全站仪、水准仪等</w:t>
            </w:r>
            <w:r>
              <w:rPr>
                <w:rFonts w:hint="eastAsia" w:ascii="宋体" w:hAnsi="宋体"/>
                <w:szCs w:val="21"/>
              </w:rPr>
              <w:t>等</w:t>
            </w:r>
          </w:p>
          <w:p>
            <w:pPr>
              <w:shd w:val="clear" w:color="auto" w:fill="C7DAF1" w:themeFill="text2" w:themeFillTint="32"/>
            </w:pPr>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rPr>
              <w:sym w:font="Wingdings 2" w:char="00A3"/>
            </w:r>
            <w:r>
              <w:rPr>
                <w:rFonts w:hint="eastAsia"/>
              </w:rPr>
              <w:t xml:space="preserve">锅炉 </w:t>
            </w:r>
            <w:r>
              <w:rPr>
                <w:rFonts w:hint="eastAsia"/>
              </w:rPr>
              <w:sym w:font="Wingdings 2" w:char="00A3"/>
            </w:r>
            <w:r>
              <w:rPr>
                <w:rFonts w:hint="eastAsia"/>
              </w:rPr>
              <w:t xml:space="preserve">电梯  </w:t>
            </w:r>
            <w:r>
              <w:rPr>
                <w:rFonts w:hint="eastAsia"/>
              </w:rPr>
              <w:sym w:font="Wingdings 2" w:char="00A3"/>
            </w:r>
            <w:r>
              <w:rPr>
                <w:rFonts w:hint="eastAsia"/>
              </w:rPr>
              <w:t xml:space="preserve">压力容器  </w:t>
            </w:r>
            <w:r>
              <w:rPr>
                <w:rFonts w:hint="eastAsia"/>
              </w:rPr>
              <w:sym w:font="Wingdings 2" w:char="00A3"/>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highlight w:val="yellow"/>
                <w:u w:val="single"/>
              </w:rPr>
            </w:pPr>
            <w:r>
              <w:rPr>
                <w:rFonts w:hint="eastAsia"/>
              </w:rPr>
              <w:t>国家</w:t>
            </w:r>
            <w:r>
              <w:rPr>
                <w:rFonts w:hint="eastAsia"/>
                <w:highlight w:val="none"/>
              </w:rPr>
              <w:t>强检的计量器具有：</w:t>
            </w:r>
            <w:r>
              <w:rPr>
                <w:rFonts w:hint="eastAsia"/>
                <w:highlight w:val="none"/>
                <w:u w:val="single"/>
              </w:rPr>
              <w:t xml:space="preserve">   </w:t>
            </w:r>
            <w:r>
              <w:rPr>
                <w:rFonts w:hint="eastAsia" w:ascii="宋体" w:hAnsi="宋体"/>
                <w:szCs w:val="21"/>
                <w:highlight w:val="none"/>
                <w:u w:val="single"/>
              </w:rPr>
              <w:t>GNSS接收机（3台）、全站仪（2台）、水准仪（1台）</w:t>
            </w:r>
            <w:r>
              <w:rPr>
                <w:rFonts w:hint="eastAsia" w:ascii="Times New Roman" w:hAnsi="Times New Roman" w:eastAsia="宋体" w:cs="Times New Roman"/>
                <w:highlight w:val="none"/>
                <w:u w:val="single"/>
                <w:lang w:val="en-US" w:eastAsia="zh-CN"/>
              </w:rPr>
              <w:t>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 xml:space="preserve">加工工艺 ■生产经验  ■管理软件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hint="eastAsia" w:ascii="Wingdings" w:hAnsi="Wingdings"/>
                <w:lang w:eastAsia="zh-CN"/>
              </w:rPr>
              <w:t>□</w:t>
            </w:r>
            <w:r>
              <w:rPr>
                <w:rFonts w:hint="eastAsia"/>
              </w:rPr>
              <w:t xml:space="preserve">检测计划   ■接收准则  ■外包控制要求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lang w:eastAsia="zh-CN"/>
              </w:rPr>
              <w:t>□</w:t>
            </w:r>
            <w:r>
              <w:rPr>
                <w:rFonts w:hint="eastAsia"/>
              </w:rPr>
              <w:t xml:space="preserve">企业标准  ■顾客要求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lang w:eastAsia="zh-CN"/>
              </w:rPr>
              <w:t>□</w:t>
            </w:r>
            <w:r>
              <w:rPr>
                <w:rFonts w:hint="eastAsia"/>
              </w:rPr>
              <w:t xml:space="preserve">委托加工  ■顾客要求 </w:t>
            </w:r>
            <w:r>
              <w:rPr>
                <w:rFonts w:hint="eastAsia" w:ascii="Wingdings" w:hAnsi="Wingdings"/>
                <w:lang w:eastAsia="zh-CN"/>
              </w:rPr>
              <w:t>□</w:t>
            </w:r>
            <w:r>
              <w:rPr>
                <w:rFonts w:hint="eastAsia"/>
              </w:rPr>
              <w:t>运输  ■其他</w:t>
            </w:r>
          </w:p>
          <w:p>
            <w:pPr>
              <w:shd w:val="clear" w:color="auto" w:fill="C7DAF1" w:themeFill="text2" w:themeFillTint="32"/>
              <w:jc w:val="left"/>
            </w:pPr>
            <w:r>
              <w:rPr>
                <w:rFonts w:hint="eastAsia"/>
              </w:rPr>
              <w:t xml:space="preserve">提供给外部供方的信息■符合要求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highlight w:val="yellow"/>
                      <w:lang w:val="en-US" w:eastAsia="zh-CN"/>
                    </w:rPr>
                  </w:pPr>
                  <w:r>
                    <w:rPr>
                      <w:sz w:val="20"/>
                    </w:rPr>
                    <w:t>资质范围内工程勘察（岩土工程、工程测量、水文地质）、地质灾害危险性评估、测绘及固体矿产勘查</w:t>
                  </w:r>
                </w:p>
              </w:tc>
              <w:tc>
                <w:tcPr>
                  <w:tcW w:w="2687" w:type="dxa"/>
                </w:tcPr>
                <w:p>
                  <w:pPr>
                    <w:shd w:val="clear" w:color="auto" w:fill="C7DAF1" w:themeFill="text2" w:themeFillTint="32"/>
                    <w:jc w:val="left"/>
                    <w:rPr>
                      <w:rFonts w:hint="default" w:ascii="Times New Roman" w:hAnsi="Times New Roman" w:eastAsia="宋体" w:cs="Times New Roman"/>
                      <w:highlight w:val="yellow"/>
                      <w:lang w:val="en-US" w:eastAsia="zh-CN"/>
                    </w:rPr>
                  </w:pPr>
                  <w:r>
                    <w:rPr>
                      <w:rFonts w:hint="eastAsia"/>
                      <w:u w:val="none"/>
                    </w:rPr>
                    <w:t xml:space="preserve">勘察的服务过程 </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勘察的服务过程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lang w:eastAsia="zh-CN"/>
              </w:rPr>
              <w:t>□</w:t>
            </w:r>
            <w:r>
              <w:rPr>
                <w:rFonts w:hint="eastAsia"/>
              </w:rPr>
              <w:t xml:space="preserve">容器编号 ■人员编号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 xml:space="preserve">原材料 ■设备 </w:t>
            </w:r>
            <w:r>
              <w:rPr>
                <w:rFonts w:hint="eastAsia" w:ascii="Wingdings" w:hAnsi="Wingdings"/>
                <w:lang w:eastAsia="zh-CN"/>
              </w:rPr>
              <w:sym w:font="Wingdings 2" w:char="00A3"/>
            </w:r>
            <w:r>
              <w:rPr>
                <w:rFonts w:hint="eastAsia"/>
              </w:rPr>
              <w:t xml:space="preserve">检测设备 ■图纸 </w:t>
            </w:r>
            <w:r>
              <w:rPr>
                <w:rFonts w:hint="eastAsia" w:ascii="Wingdings" w:hAnsi="Wingdings"/>
                <w:lang w:eastAsia="zh-CN"/>
              </w:rPr>
              <w:t>□</w:t>
            </w:r>
            <w:r>
              <w:rPr>
                <w:rFonts w:hint="eastAsia"/>
              </w:rPr>
              <w:t xml:space="preserve">配方 ■个人信息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A3"/>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 xml:space="preserve">已发生的更改包括：■重要原材料 ■设备 </w:t>
            </w:r>
            <w:r>
              <w:rPr>
                <w:rFonts w:hint="eastAsia" w:ascii="Wingdings" w:hAnsi="Wingdings"/>
                <w:lang w:eastAsia="zh-CN"/>
              </w:rPr>
              <w:sym w:font="Wingdings 2" w:char="00A3"/>
            </w:r>
            <w:r>
              <w:rPr>
                <w:rFonts w:hint="eastAsia"/>
              </w:rPr>
              <w:t xml:space="preserve">检测设备 ■图纸 ■工艺 </w:t>
            </w:r>
            <w:r>
              <w:rPr>
                <w:rFonts w:hint="eastAsia" w:ascii="Wingdings" w:hAnsi="Wingdings"/>
                <w:lang w:eastAsia="zh-CN"/>
              </w:rPr>
              <w:sym w:font="Wingdings 2" w:char="00A3"/>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A3"/>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A3"/>
            </w:r>
            <w:r>
              <w:rPr>
                <w:rFonts w:hint="eastAsia"/>
              </w:rPr>
              <w:t xml:space="preserve">过程检验 </w:t>
            </w:r>
            <w:r>
              <w:rPr>
                <w:rFonts w:hint="eastAsia" w:ascii="Wingdings" w:hAnsi="Wingdings"/>
                <w:lang w:eastAsia="zh-CN"/>
              </w:rPr>
              <w:sym w:font="Wingdings 2" w:char="00A3"/>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lang w:eastAsia="zh-CN"/>
              </w:rPr>
              <w:t>□</w:t>
            </w:r>
            <w:r>
              <w:rPr>
                <w:rFonts w:hint="eastAsia"/>
              </w:rPr>
              <w:t xml:space="preserve">顾客座谈 ■市场占有率分析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8</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2 </w:t>
            </w:r>
            <w:r>
              <w:rPr>
                <w:rFonts w:hint="eastAsia"/>
                <w:highlight w:val="none"/>
                <w:u w:val="single"/>
              </w:rPr>
              <w:t xml:space="preserve"> </w:t>
            </w:r>
            <w:r>
              <w:rPr>
                <w:rFonts w:hint="eastAsia"/>
                <w:highlight w:val="none"/>
              </w:rPr>
              <w:t>日实施了质量管理体系内部审核，对质量管理体系的符合性和有效性进行了审核。内审发现的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w:t>
            </w:r>
            <w:r>
              <w:rPr>
                <w:rFonts w:hint="eastAsia"/>
                <w:highlight w:val="none"/>
              </w:rPr>
              <w:t>间隔，在</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8</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18</w:t>
            </w:r>
            <w:r>
              <w:rPr>
                <w:rFonts w:hint="eastAsia"/>
                <w:highlight w:val="none"/>
                <w:u w:val="single"/>
              </w:rPr>
              <w:t xml:space="preserve">  </w:t>
            </w:r>
            <w:r>
              <w:rPr>
                <w:rFonts w:hint="eastAsia"/>
                <w:highlight w:val="none"/>
              </w:rPr>
              <w:t>日对组织的质量管理体系进行了评审，以确保其持续的适宜性、充分性和有效</w:t>
            </w:r>
            <w:r>
              <w:rPr>
                <w:rFonts w:hint="eastAsia"/>
              </w:rPr>
              <w:t>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autoSpaceDE w:val="0"/>
        <w:autoSpaceDN w:val="0"/>
        <w:adjustRightInd w:val="0"/>
        <w:snapToGrid w:val="0"/>
        <w:rPr>
          <w:rFonts w:eastAsia="微软雅黑"/>
          <w:b/>
          <w:bCs/>
          <w:sz w:val="20"/>
          <w:szCs w:val="20"/>
        </w:rPr>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rPr>
              <w:sym w:font="Wingdings 2" w:char="00A3"/>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w:t>
            </w:r>
            <w:r>
              <w:rPr>
                <w:rFonts w:hint="eastAsia"/>
              </w:rPr>
              <w:sym w:font="Wingdings 2" w:char="00A3"/>
            </w:r>
            <w:r>
              <w:rPr>
                <w:rFonts w:hint="eastAsia"/>
              </w:rPr>
              <w:t xml:space="preserve">危化品管理 □特种设备管理 </w:t>
            </w:r>
          </w:p>
          <w:p>
            <w:pPr>
              <w:shd w:val="clear" w:color="auto" w:fill="EBF1DE" w:themeFill="accent3" w:themeFillTint="32"/>
              <w:spacing w:before="40" w:after="40"/>
            </w:pPr>
            <w:r>
              <w:rPr>
                <w:rFonts w:hint="eastAsia"/>
              </w:rPr>
              <w:t xml:space="preserve">□环评三同时 </w:t>
            </w:r>
            <w:r>
              <w:rPr>
                <w:rFonts w:hint="eastAsia"/>
              </w:rPr>
              <w:sym w:font="Wingdings 2" w:char="00A3"/>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 xml:space="preserve">生产/服务过程 □环保监测 □产品运输 </w:t>
            </w:r>
            <w:r>
              <w:rPr>
                <w:rFonts w:hint="eastAsia"/>
                <w:lang w:eastAsia="zh-CN"/>
              </w:rPr>
              <w:t>■</w:t>
            </w:r>
            <w:r>
              <w:rPr>
                <w:rFonts w:hint="eastAsia"/>
              </w:rPr>
              <w:t>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rFonts w:hint="eastAsia"/>
              </w:rPr>
            </w:pPr>
            <w:r>
              <w:rPr>
                <w:rFonts w:hint="eastAsia"/>
              </w:rPr>
              <w:t>最高管理者制定了文件化的管理体系方针：</w:t>
            </w:r>
          </w:p>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“精细勘查、精确测绘、精心勘察、精准评估</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探各色矿产，求绿色开发，资源必有限，保护须无涯</w:t>
            </w:r>
            <w:r>
              <w:rPr>
                <w:rFonts w:hint="eastAsia" w:ascii="Times New Roman" w:hAnsi="Times New Roman" w:eastAsia="宋体" w:cs="Times New Roman"/>
                <w:lang w:val="en-GB" w:eastAsia="zh-CN"/>
              </w:rPr>
              <w:t>；</w:t>
            </w:r>
            <w:r>
              <w:rPr>
                <w:rFonts w:hint="eastAsia" w:ascii="Times New Roman" w:hAnsi="Times New Roman" w:eastAsia="宋体" w:cs="Times New Roman"/>
                <w:lang w:val="en-GB"/>
              </w:rPr>
              <w:t>勘测有风险，进退察安危。防患于未然，野外无忧归。”</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Times New Roman" w:hAnsi="Times New Roman" w:eastAsia="宋体" w:cs="Times New Roman"/>
                      <w:color w:val="000000"/>
                      <w:kern w:val="2"/>
                      <w:sz w:val="21"/>
                      <w:szCs w:val="24"/>
                      <w:lang w:val="en-US" w:eastAsia="zh-CN" w:bidi="ar-SA"/>
                    </w:rPr>
                  </w:pPr>
                  <w: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default" w:ascii="Times New Roman" w:hAnsi="Times New Roman" w:eastAsia="宋体" w:cs="Times New Roman"/>
                      <w:color w:val="000000"/>
                      <w:kern w:val="2"/>
                      <w:sz w:val="21"/>
                      <w:szCs w:val="24"/>
                      <w:lang w:val="en-US" w:eastAsia="zh-CN" w:bidi="ar-SA"/>
                    </w:rPr>
                  </w:pPr>
                  <w: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heme="minorEastAsia" w:hAnsiTheme="minorEastAsia" w:eastAsiaTheme="minorEastAsia"/>
                      <w:b w:val="0"/>
                      <w:bCs w:val="0"/>
                      <w:sz w:val="21"/>
                      <w:szCs w:val="21"/>
                      <w:highlight w:val="none"/>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302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023" w:type="dxa"/>
                  <w:shd w:val="clear" w:color="auto" w:fill="auto"/>
                </w:tcPr>
                <w:p>
                  <w:pPr>
                    <w:shd w:val="clear" w:color="auto" w:fill="EBF1DE" w:themeFill="accent3" w:themeFillTint="32"/>
                    <w:rPr>
                      <w:rFonts w:hint="eastAsia"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vAlign w:val="top"/>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实现废弃物的分类收集、处理：废弃物的回收率达到100%；</w:t>
                  </w:r>
                </w:p>
              </w:tc>
              <w:tc>
                <w:tcPr>
                  <w:tcW w:w="3023"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收集回收数÷总固体废弃物×100%</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各部门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vAlign w:val="top"/>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火灾事故发生次数为0；</w:t>
                  </w:r>
                </w:p>
              </w:tc>
              <w:tc>
                <w:tcPr>
                  <w:tcW w:w="3023"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火灾事故发生次数</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各部门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vAlign w:val="top"/>
                </w:tcPr>
                <w:p>
                  <w:pPr>
                    <w:shd w:val="clear" w:color="auto" w:fill="EBF1DE" w:themeFill="accent3" w:themeFillTint="32"/>
                    <w:rPr>
                      <w:rFonts w:hint="default" w:ascii="宋体" w:hAnsi="宋体"/>
                      <w:lang w:val="en-US" w:eastAsia="zh-CN"/>
                    </w:rPr>
                  </w:pPr>
                </w:p>
              </w:tc>
              <w:tc>
                <w:tcPr>
                  <w:tcW w:w="3023" w:type="dxa"/>
                  <w:shd w:val="clear" w:color="auto" w:fill="auto"/>
                  <w:vAlign w:val="center"/>
                </w:tcPr>
                <w:p>
                  <w:pPr>
                    <w:shd w:val="clear" w:color="auto" w:fill="EBF1DE" w:themeFill="accent3" w:themeFillTint="32"/>
                    <w:rPr>
                      <w:rFonts w:hint="eastAsia" w:ascii="宋体" w:hAnsi="宋体"/>
                      <w:lang w:val="en-US" w:eastAsia="zh-CN"/>
                    </w:rPr>
                  </w:pPr>
                </w:p>
              </w:tc>
              <w:tc>
                <w:tcPr>
                  <w:tcW w:w="1350" w:type="dxa"/>
                  <w:shd w:val="clear" w:color="auto" w:fill="auto"/>
                  <w:vAlign w:val="center"/>
                </w:tcPr>
                <w:p>
                  <w:pPr>
                    <w:shd w:val="clear" w:color="auto" w:fill="EBF1DE" w:themeFill="accent3" w:themeFillTint="32"/>
                    <w:rPr>
                      <w:rFonts w:hint="default" w:ascii="宋体" w:hAnsi="宋体"/>
                      <w:lang w:val="en-US" w:eastAsia="zh-CN"/>
                    </w:rPr>
                  </w:pPr>
                </w:p>
              </w:tc>
              <w:tc>
                <w:tcPr>
                  <w:tcW w:w="1774" w:type="dxa"/>
                  <w:shd w:val="clear" w:color="auto" w:fill="auto"/>
                  <w:vAlign w:val="top"/>
                </w:tcPr>
                <w:p>
                  <w:pPr>
                    <w:shd w:val="clear" w:color="auto" w:fill="EBF1DE" w:themeFill="accent3" w:themeFillTint="32"/>
                    <w:rPr>
                      <w:rFonts w:hint="default"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shd w:val="clear" w:color="auto" w:fill="auto"/>
                  <w:vAlign w:val="top"/>
                </w:tcPr>
                <w:p>
                  <w:pPr>
                    <w:shd w:val="clear" w:color="auto" w:fill="EBF1DE" w:themeFill="accent3" w:themeFillTint="32"/>
                    <w:rPr>
                      <w:rFonts w:hint="eastAsia" w:ascii="宋体" w:hAnsi="宋体"/>
                      <w:lang w:val="en-US" w:eastAsia="zh-CN"/>
                    </w:rPr>
                  </w:pPr>
                </w:p>
              </w:tc>
              <w:tc>
                <w:tcPr>
                  <w:tcW w:w="3023" w:type="dxa"/>
                  <w:shd w:val="clear" w:color="auto" w:fill="auto"/>
                  <w:vAlign w:val="center"/>
                </w:tcPr>
                <w:p>
                  <w:pPr>
                    <w:shd w:val="clear" w:color="auto" w:fill="EBF1DE" w:themeFill="accent3" w:themeFillTint="32"/>
                    <w:rPr>
                      <w:rFonts w:hint="eastAsia" w:ascii="宋体" w:hAnsi="宋体"/>
                    </w:rPr>
                  </w:pP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p>
              </w:tc>
              <w:tc>
                <w:tcPr>
                  <w:tcW w:w="1774" w:type="dxa"/>
                  <w:shd w:val="clear" w:color="auto" w:fill="auto"/>
                  <w:vAlign w:val="top"/>
                </w:tcPr>
                <w:p>
                  <w:pPr>
                    <w:shd w:val="clear" w:color="auto" w:fill="EBF1DE" w:themeFill="accent3" w:themeFillTint="32"/>
                    <w:rPr>
                      <w:rFonts w:hint="eastAsia" w:ascii="宋体" w:hAnsi="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宋体" w:hAnsi="宋体"/>
                <w:sz w:val="21"/>
                <w:szCs w:val="21"/>
              </w:rPr>
              <w:t>办公场所面积</w:t>
            </w:r>
            <w:r>
              <w:rPr>
                <w:rFonts w:hint="eastAsia" w:ascii="宋体" w:hAnsi="宋体"/>
                <w:sz w:val="21"/>
                <w:szCs w:val="21"/>
                <w:lang w:val="en-US" w:eastAsia="zh-CN"/>
              </w:rPr>
              <w:t>50</w:t>
            </w:r>
            <w:r>
              <w:rPr>
                <w:rFonts w:hint="eastAsia" w:ascii="宋体" w:hAnsi="宋体"/>
                <w:sz w:val="21"/>
                <w:szCs w:val="21"/>
              </w:rPr>
              <w:t>00</w:t>
            </w:r>
            <w:r>
              <w:rPr>
                <w:rFonts w:hint="eastAsia" w:ascii="宋体" w:hAnsi="宋体"/>
                <w:sz w:val="21"/>
                <w:szCs w:val="21"/>
                <w:highlight w:val="none"/>
              </w:rPr>
              <w:t>平方左右</w:t>
            </w:r>
            <w:r>
              <w:rPr>
                <w:rFonts w:hint="eastAsia" w:ascii="Times New Roman" w:hAnsi="Times New Roman" w:eastAsia="宋体" w:cs="Times New Roman"/>
                <w:highlight w:val="none"/>
              </w:rPr>
              <w:t xml:space="preserve">；生产车间 </w:t>
            </w:r>
            <w:r>
              <w:rPr>
                <w:rFonts w:hint="eastAsia" w:cs="Times New Roman"/>
                <w:highlight w:val="none"/>
                <w:lang w:val="en-US" w:eastAsia="zh-CN"/>
              </w:rPr>
              <w:t xml:space="preserve"> </w:t>
            </w:r>
            <w:r>
              <w:rPr>
                <w:rFonts w:hint="eastAsia" w:ascii="Times New Roman" w:hAnsi="Times New Roman" w:eastAsia="宋体" w:cs="Times New Roman"/>
                <w:highlight w:val="none"/>
              </w:rPr>
              <w:t xml:space="preserve"> 个；库房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ascii="宋体" w:hAnsi="宋体" w:cs="宋体"/>
                <w:szCs w:val="21"/>
                <w:highlight w:val="none"/>
              </w:rPr>
              <w:t>办公设</w:t>
            </w:r>
            <w:r>
              <w:rPr>
                <w:rFonts w:hint="eastAsia" w:ascii="宋体" w:hAnsi="宋体" w:cs="宋体"/>
                <w:szCs w:val="21"/>
              </w:rPr>
              <w:t>备、电脑、</w:t>
            </w:r>
            <w:r>
              <w:rPr>
                <w:rFonts w:hint="eastAsia"/>
                <w:szCs w:val="21"/>
              </w:rPr>
              <w:t>GNSS接收机、全站仪、水准仪等</w:t>
            </w:r>
            <w:r>
              <w:rPr>
                <w:rFonts w:hint="eastAsia" w:ascii="宋体" w:hAnsi="宋体"/>
                <w:szCs w:val="21"/>
              </w:rPr>
              <w:t>等</w:t>
            </w:r>
          </w:p>
          <w:p>
            <w:pPr>
              <w:shd w:val="clear" w:color="auto" w:fill="EBF1DE" w:themeFill="accent3" w:themeFillTint="32"/>
              <w:rPr>
                <w:rFonts w:hint="eastAsia" w:ascii="Wingdings" w:hAnsi="Wingdings"/>
                <w:highlight w:val="none"/>
                <w:lang w:eastAsia="zh-CN"/>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p>
          <w:p>
            <w:pPr>
              <w:shd w:val="clear" w:color="auto" w:fill="EBF1DE" w:themeFill="accent3" w:themeFillTint="32"/>
              <w:rPr>
                <w:highlight w:val="none"/>
              </w:rPr>
            </w:pPr>
            <w:r>
              <w:rPr>
                <w:rFonts w:hint="eastAsia"/>
                <w:highlight w:val="none"/>
              </w:rPr>
              <w:t>辅助场所：</w:t>
            </w:r>
            <w:r>
              <w:rPr>
                <w:rFonts w:hint="eastAsia" w:ascii="Wingdings" w:hAnsi="Wingdings"/>
                <w:highlight w:val="none"/>
                <w:lang w:eastAsia="zh-CN"/>
              </w:rPr>
              <w:t>□</w:t>
            </w:r>
            <w:r>
              <w:rPr>
                <w:rFonts w:hint="eastAsia"/>
                <w:highlight w:val="none"/>
              </w:rPr>
              <w:t xml:space="preserve">高压配电室 </w:t>
            </w:r>
            <w:r>
              <w:rPr>
                <w:rFonts w:hint="eastAsia" w:ascii="Wingdings" w:hAnsi="Wingdings"/>
                <w:highlight w:val="none"/>
                <w:lang w:eastAsia="zh-CN"/>
              </w:rPr>
              <w:t>□</w:t>
            </w:r>
            <w:r>
              <w:rPr>
                <w:rFonts w:hint="eastAsia"/>
                <w:highlight w:val="none"/>
              </w:rPr>
              <w:t xml:space="preserve">低压配电室 </w:t>
            </w:r>
            <w:r>
              <w:rPr>
                <w:rFonts w:hint="eastAsia" w:ascii="Wingdings" w:hAnsi="Wingdings"/>
                <w:highlight w:val="none"/>
                <w:lang w:eastAsia="zh-CN"/>
              </w:rPr>
              <w:t>□</w:t>
            </w:r>
            <w:r>
              <w:rPr>
                <w:rFonts w:hint="eastAsia"/>
                <w:highlight w:val="none"/>
              </w:rPr>
              <w:t xml:space="preserve">空压站 </w:t>
            </w:r>
            <w:r>
              <w:rPr>
                <w:rFonts w:hint="eastAsia" w:ascii="Wingdings" w:hAnsi="Wingdings"/>
                <w:highlight w:val="none"/>
                <w:lang w:eastAsia="zh-CN"/>
              </w:rPr>
              <w:t>□</w:t>
            </w:r>
            <w:r>
              <w:rPr>
                <w:rFonts w:hint="eastAsia"/>
                <w:highlight w:val="none"/>
              </w:rPr>
              <w:t xml:space="preserve">锅炉房 </w:t>
            </w:r>
            <w:r>
              <w:rPr>
                <w:rFonts w:hint="eastAsia" w:ascii="Wingdings" w:hAnsi="Wingdings"/>
                <w:highlight w:val="none"/>
                <w:lang w:eastAsia="zh-CN"/>
              </w:rPr>
              <w:t>□</w:t>
            </w:r>
            <w:r>
              <w:rPr>
                <w:rFonts w:hint="eastAsia"/>
                <w:highlight w:val="none"/>
              </w:rPr>
              <w:t xml:space="preserve">食堂  </w:t>
            </w:r>
            <w:r>
              <w:rPr>
                <w:rFonts w:hint="eastAsia" w:ascii="Wingdings" w:hAnsi="Wingdings"/>
                <w:highlight w:val="none"/>
                <w:lang w:eastAsia="zh-CN"/>
              </w:rPr>
              <w:t>□</w:t>
            </w:r>
            <w:r>
              <w:rPr>
                <w:rFonts w:hint="eastAsia"/>
                <w:highlight w:val="none"/>
              </w:rPr>
              <w:t xml:space="preserve">危化品库  </w:t>
            </w:r>
          </w:p>
          <w:p>
            <w:pPr>
              <w:shd w:val="clear" w:color="auto" w:fill="EBF1DE" w:themeFill="accent3" w:themeFillTint="32"/>
              <w:ind w:firstLine="1050" w:firstLineChars="500"/>
              <w:rPr>
                <w:highlight w:val="none"/>
              </w:rPr>
            </w:pPr>
            <w:r>
              <w:rPr>
                <w:rFonts w:hint="eastAsia" w:ascii="Wingdings" w:hAnsi="Wingdings"/>
                <w:highlight w:val="none"/>
                <w:lang w:eastAsia="zh-CN"/>
              </w:rPr>
              <w:t>□</w:t>
            </w:r>
            <w:r>
              <w:rPr>
                <w:rFonts w:hint="eastAsia"/>
                <w:highlight w:val="none"/>
              </w:rPr>
              <w:t xml:space="preserve">危废库  </w:t>
            </w:r>
            <w:r>
              <w:rPr>
                <w:rFonts w:hint="eastAsia" w:ascii="Wingdings" w:hAnsi="Wingdings"/>
                <w:highlight w:val="none"/>
                <w:lang w:eastAsia="zh-CN"/>
              </w:rPr>
              <w:t>□</w:t>
            </w:r>
            <w:r>
              <w:rPr>
                <w:rFonts w:hint="eastAsia"/>
                <w:highlight w:val="none"/>
              </w:rPr>
              <w:t xml:space="preserve">建筑施工 </w:t>
            </w:r>
            <w:r>
              <w:rPr>
                <w:rFonts w:hint="eastAsia" w:ascii="Wingdings" w:hAnsi="Wingdings"/>
                <w:highlight w:val="none"/>
                <w:lang w:eastAsia="zh-CN"/>
              </w:rPr>
              <w:t>□</w:t>
            </w:r>
            <w:r>
              <w:rPr>
                <w:rFonts w:hint="eastAsia"/>
                <w:highlight w:val="none"/>
              </w:rPr>
              <w:t xml:space="preserve">污水处理站  </w:t>
            </w:r>
            <w:r>
              <w:rPr>
                <w:rFonts w:hint="eastAsia" w:ascii="Wingdings" w:hAnsi="Wingdings"/>
                <w:highlight w:val="none"/>
                <w:lang w:eastAsia="zh-CN"/>
              </w:rPr>
              <w:t>□</w:t>
            </w:r>
            <w:r>
              <w:rPr>
                <w:rFonts w:hint="eastAsia"/>
                <w:highlight w:val="none"/>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A3"/>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highlight w:val="none"/>
              </w:rPr>
            </w:pPr>
            <w:r>
              <w:rPr>
                <w:rFonts w:hint="eastAsia" w:eastAsia="宋体"/>
                <w:highlight w:val="none"/>
              </w:rPr>
              <w:t xml:space="preserve">通过 </w:t>
            </w:r>
            <w:r>
              <w:rPr>
                <w:rFonts w:hint="eastAsia" w:eastAsia="宋体"/>
                <w:highlight w:val="none"/>
                <w:lang w:eastAsia="zh-CN"/>
              </w:rPr>
              <w:t>■</w:t>
            </w:r>
            <w:r>
              <w:rPr>
                <w:rFonts w:hint="eastAsia" w:eastAsia="宋体"/>
                <w:highlight w:val="none"/>
              </w:rPr>
              <w:t xml:space="preserve">招聘 </w:t>
            </w:r>
            <w:r>
              <w:rPr>
                <w:rFonts w:hint="eastAsia" w:eastAsia="宋体"/>
                <w:highlight w:val="none"/>
                <w:lang w:eastAsia="zh-CN"/>
              </w:rPr>
              <w:t>□</w:t>
            </w:r>
            <w:r>
              <w:rPr>
                <w:rFonts w:hint="eastAsia" w:eastAsia="宋体"/>
                <w:highlight w:val="none"/>
              </w:rPr>
              <w:t xml:space="preserve">换岗 </w:t>
            </w:r>
            <w:r>
              <w:rPr>
                <w:rFonts w:hint="eastAsia" w:eastAsia="宋体"/>
                <w:highlight w:val="none"/>
                <w:lang w:eastAsia="zh-CN"/>
              </w:rPr>
              <w:t>■</w:t>
            </w:r>
            <w:r>
              <w:rPr>
                <w:rFonts w:hint="eastAsia" w:eastAsia="宋体"/>
                <w:highlight w:val="none"/>
              </w:rPr>
              <w:t xml:space="preserve">培训  </w:t>
            </w:r>
            <w:r>
              <w:rPr>
                <w:rFonts w:hint="eastAsia" w:eastAsia="宋体"/>
                <w:highlight w:val="none"/>
                <w:lang w:eastAsia="zh-CN"/>
              </w:rPr>
              <w:t>■</w:t>
            </w:r>
            <w:r>
              <w:rPr>
                <w:rFonts w:hint="eastAsia" w:eastAsia="宋体"/>
                <w:highlight w:val="none"/>
              </w:rPr>
              <w:t xml:space="preserve">考核   </w:t>
            </w:r>
            <w:r>
              <w:rPr>
                <w:rFonts w:hint="eastAsia" w:eastAsia="宋体"/>
                <w:highlight w:val="none"/>
                <w:lang w:eastAsia="zh-CN"/>
              </w:rPr>
              <w:t>□</w:t>
            </w:r>
            <w:r>
              <w:rPr>
                <w:rFonts w:hint="eastAsia" w:eastAsia="宋体"/>
                <w:highlight w:val="none"/>
              </w:rPr>
              <w:t xml:space="preserve">辅导  </w:t>
            </w:r>
            <w:r>
              <w:rPr>
                <w:rFonts w:hint="eastAsia" w:eastAsia="宋体"/>
                <w:highlight w:val="none"/>
                <w:lang w:eastAsia="zh-CN"/>
              </w:rPr>
              <w:sym w:font="Wingdings 2" w:char="00A3"/>
            </w:r>
            <w:r>
              <w:rPr>
                <w:rFonts w:hint="eastAsia" w:eastAsia="宋体"/>
                <w:highlight w:val="none"/>
              </w:rPr>
              <w:t>其他</w:t>
            </w:r>
          </w:p>
          <w:p>
            <w:pPr>
              <w:shd w:val="clear" w:color="auto" w:fill="EBF1DE" w:themeFill="accent3" w:themeFillTint="32"/>
              <w:rPr>
                <w:highlight w:val="none"/>
              </w:rPr>
            </w:pPr>
            <w:r>
              <w:rPr>
                <w:rFonts w:hint="eastAsia"/>
                <w:highlight w:val="none"/>
              </w:rPr>
              <w:t>对国家规定持证上岗的人员资质进行了有效的管理。</w:t>
            </w:r>
          </w:p>
          <w:p>
            <w:pPr>
              <w:shd w:val="clear" w:color="auto" w:fill="EBF1DE" w:themeFill="accent3" w:themeFillTint="32"/>
              <w:rPr>
                <w:rFonts w:hint="default" w:eastAsia="宋体"/>
                <w:highlight w:val="none"/>
                <w:lang w:val="en-US" w:eastAsia="zh-CN"/>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 xml:space="preserve"> </w:t>
            </w:r>
          </w:p>
          <w:p>
            <w:pPr>
              <w:shd w:val="clear" w:color="auto" w:fill="EBF1DE" w:themeFill="accent3"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eastAsia="宋体"/>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eastAsia="宋体"/>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u w:val="single"/>
              </w:rPr>
            </w:pPr>
            <w:r>
              <w:rPr>
                <w:rFonts w:hint="eastAsia"/>
              </w:rPr>
              <w:t>审核期间内，设计和开发新产品/项目名称：</w:t>
            </w:r>
            <w:r>
              <w:rPr>
                <w:rFonts w:hint="eastAsia"/>
                <w:u w:val="single"/>
                <w:lang w:eastAsia="zh-CN"/>
              </w:rPr>
              <w:t>（</w:t>
            </w:r>
            <w:r>
              <w:rPr>
                <w:rFonts w:hint="eastAsia"/>
                <w:u w:val="single"/>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 xml:space="preserve"> </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eastAsia="宋体"/>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检测设备</w:t>
            </w:r>
            <w:r>
              <w:rPr>
                <w:rFonts w:hint="eastAsia"/>
                <w:lang w:val="en-US" w:eastAsia="zh-CN"/>
              </w:rPr>
              <w:t xml:space="preserve">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hint="eastAsia" w:eastAsia="宋体"/>
                <w:lang w:val="en-US" w:eastAsia="zh-CN"/>
              </w:rPr>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ascii="宋体" w:hAnsi="宋体" w:cs="宋体"/>
                <w:szCs w:val="21"/>
                <w:lang w:eastAsia="zh-CN"/>
              </w:rPr>
              <w:t>》、</w:t>
            </w:r>
            <w:r>
              <w:rPr>
                <w:rFonts w:hint="eastAsia" w:cs="宋体"/>
                <w:szCs w:val="21"/>
              </w:rPr>
              <w:t>《</w:t>
            </w:r>
            <w:r>
              <w:rPr>
                <w:rFonts w:hint="eastAsia" w:cs="宋体"/>
                <w:szCs w:val="21"/>
                <w:lang w:val="en-US" w:eastAsia="zh-CN"/>
              </w:rPr>
              <w:t>触电</w:t>
            </w:r>
            <w:r>
              <w:rPr>
                <w:rFonts w:hint="eastAsia" w:ascii="宋体" w:hAnsi="宋体" w:cs="宋体"/>
                <w:szCs w:val="21"/>
              </w:rPr>
              <w:t>应急疏散预案</w:t>
            </w:r>
            <w:r>
              <w:rPr>
                <w:rFonts w:hint="eastAsia" w:cs="宋体"/>
                <w:szCs w:val="21"/>
              </w:rPr>
              <w:t>》</w:t>
            </w:r>
            <w:r>
              <w:rPr>
                <w:rFonts w:hint="eastAsia" w:cs="宋体"/>
                <w:szCs w:val="21"/>
                <w:lang w:val="en-US" w:eastAsia="zh-CN"/>
              </w:rPr>
              <w:t>等</w:t>
            </w:r>
          </w:p>
          <w:p>
            <w:pPr>
              <w:shd w:val="clear" w:color="auto" w:fill="EBF1DE" w:themeFill="accent3" w:themeFillTint="32"/>
            </w:pPr>
            <w:r>
              <w:rPr>
                <w:rFonts w:hint="eastAsia" w:eastAsia="宋体"/>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10</w:t>
            </w:r>
            <w:r>
              <w:rPr>
                <w:rFonts w:hint="eastAsia"/>
                <w:u w:val="single"/>
              </w:rPr>
              <w:t>日</w:t>
            </w:r>
            <w:r>
              <w:rPr>
                <w:rFonts w:hint="eastAsia"/>
              </w:rPr>
              <w:t>进行了火灾消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25</w:t>
            </w:r>
            <w:r>
              <w:rPr>
                <w:rFonts w:hint="eastAsia"/>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8</w:t>
            </w:r>
            <w:r>
              <w:rPr>
                <w:rFonts w:hint="eastAsia"/>
                <w:u w:val="single"/>
              </w:rPr>
              <w:t>月</w:t>
            </w:r>
            <w:r>
              <w:rPr>
                <w:rFonts w:hint="eastAsia"/>
                <w:u w:val="single"/>
                <w:lang w:val="en-US" w:eastAsia="zh-CN"/>
              </w:rPr>
              <w:t>2日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8</w:t>
            </w:r>
            <w:r>
              <w:rPr>
                <w:rFonts w:hint="eastAsia"/>
                <w:u w:val="single"/>
              </w:rPr>
              <w:t xml:space="preserve"> 月</w:t>
            </w:r>
            <w:r>
              <w:rPr>
                <w:rFonts w:hint="eastAsia"/>
                <w:u w:val="single"/>
                <w:lang w:val="en-US" w:eastAsia="zh-CN"/>
              </w:rPr>
              <w:t>18</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OHSMS</w:t>
            </w:r>
            <w:r>
              <w:rPr>
                <w:rFonts w:hint="eastAsia"/>
              </w:rPr>
              <w:t xml:space="preserve">体系建立以来   </w:t>
            </w:r>
            <w:r>
              <w:rPr>
                <w:rFonts w:hint="eastAsia" w:eastAsia="宋体"/>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rFonts w:hint="eastAsia"/>
                <w:highlight w:val="none"/>
              </w:rPr>
            </w:pPr>
            <w:r>
              <w:rPr>
                <w:rFonts w:hint="eastAsia"/>
              </w:rPr>
              <w:t>最高管理者制定了文</w:t>
            </w:r>
            <w:r>
              <w:rPr>
                <w:rFonts w:hint="eastAsia"/>
                <w:highlight w:val="none"/>
              </w:rPr>
              <w:t>件化的职业健康安全管理体系方针：</w:t>
            </w:r>
          </w:p>
          <w:p>
            <w:pPr>
              <w:spacing w:line="360" w:lineRule="auto"/>
              <w:jc w:val="both"/>
              <w:rPr>
                <w:rFonts w:hint="eastAsia" w:ascii="Times New Roman" w:hAnsi="Times New Roman" w:eastAsia="宋体" w:cs="Times New Roman"/>
                <w:highlight w:val="none"/>
              </w:rPr>
            </w:pPr>
            <w:r>
              <w:rPr>
                <w:rFonts w:hint="eastAsia" w:ascii="Times New Roman" w:hAnsi="Times New Roman" w:eastAsia="宋体" w:cs="Times New Roman"/>
                <w:highlight w:val="none"/>
              </w:rPr>
              <w:t>“精细勘查、精确测绘、精心勘察、精准评估</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探各色矿产，求绿色开发，资源必有限，保护须无涯</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勘测有风险，进退察安危。防患于未然，野外无忧归。”</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ascii="Times New Roman" w:hAnsi="Times New Roman" w:eastAsia="宋体" w:cs="Times New Roman"/>
              </w:rPr>
              <w:t>最高管理者确定了组织架构及相关岗位的职责、权限，并进行了全员的沟通和理解；</w:t>
            </w:r>
          </w:p>
          <w:p>
            <w:pPr>
              <w:rPr>
                <w:rFonts w:hint="eastAsia" w:ascii="Times New Roman" w:hAnsi="Times New Roman" w:eastAsia="宋体" w:cs="Times New Roman"/>
                <w:lang w:val="en-US" w:eastAsia="zh-CN"/>
              </w:rPr>
            </w:pPr>
            <w:r>
              <w:rPr>
                <w:rFonts w:hint="eastAsia" w:ascii="Times New Roman" w:hAnsi="Times New Roman" w:eastAsia="宋体" w:cs="Times New Roman"/>
              </w:rPr>
              <w:t>职业健康的主管部门是——</w:t>
            </w:r>
            <w:r>
              <w:rPr>
                <w:rFonts w:hint="eastAsia" w:ascii="Times New Roman" w:hAnsi="Times New Roman" w:eastAsia="宋体" w:cs="Times New Roman"/>
                <w:lang w:val="en-US" w:eastAsia="zh-CN"/>
              </w:rPr>
              <w:t>综合管理部</w:t>
            </w:r>
          </w:p>
          <w:p>
            <w:pPr>
              <w:rPr>
                <w:rFonts w:hint="default" w:ascii="Times New Roman" w:hAnsi="Times New Roman" w:eastAsia="宋体" w:cs="Times New Roman"/>
                <w:lang w:val="en-US" w:eastAsia="zh-CN"/>
              </w:rPr>
            </w:pPr>
            <w:r>
              <w:rPr>
                <w:rFonts w:hint="eastAsia" w:ascii="Times New Roman" w:hAnsi="Times New Roman" w:eastAsia="宋体" w:cs="Times New Roman"/>
              </w:rPr>
              <w:t>安全的主管部门是——</w:t>
            </w:r>
            <w:r>
              <w:rPr>
                <w:rFonts w:hint="eastAsia" w:ascii="Times New Roman" w:hAnsi="Times New Roman" w:eastAsia="宋体" w:cs="Times New Roman"/>
                <w:lang w:val="en-US" w:eastAsia="zh-CN"/>
              </w:rPr>
              <w:t>综合管理部、总工办</w:t>
            </w:r>
          </w:p>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ascii="Times New Roman" w:hAnsi="Times New Roman" w:eastAsia="宋体" w:cs="Times New Roman"/>
              </w:rPr>
              <w:t>组织建立了参与和协商的机制，由所有相关层次和职能部门的员工和员工代表参与（包括协商）建立、策划、实施、评价和改进职业健康安全管理体系。</w:t>
            </w:r>
          </w:p>
          <w:p>
            <w:pPr>
              <w:rPr>
                <w:rFonts w:hint="eastAsia" w:ascii="Times New Roman" w:hAnsi="Times New Roman" w:eastAsia="宋体" w:cs="Times New Roman"/>
              </w:rPr>
            </w:pPr>
          </w:p>
          <w:p>
            <w:pPr>
              <w:rPr>
                <w:rFonts w:hint="default" w:ascii="Times New Roman" w:hAnsi="Times New Roman" w:eastAsia="宋体" w:cs="Times New Roman"/>
                <w:lang w:val="en-US" w:eastAsia="zh-CN"/>
              </w:rPr>
            </w:pPr>
            <w:r>
              <w:rPr>
                <w:rFonts w:hint="eastAsia" w:ascii="Times New Roman" w:hAnsi="Times New Roman" w:eastAsia="宋体" w:cs="Times New Roman"/>
              </w:rPr>
              <w:t>员工代表是——陈琳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446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dxa"/>
                </w:tcPr>
                <w:p>
                  <w:r>
                    <w:rPr>
                      <w:rFonts w:hint="eastAsia"/>
                    </w:rPr>
                    <w:t>主要的风险或机遇描述</w:t>
                  </w:r>
                </w:p>
              </w:tc>
              <w:tc>
                <w:tcPr>
                  <w:tcW w:w="4464"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dxa"/>
                  <w:vAlign w:val="center"/>
                </w:tcPr>
                <w:p>
                  <w:pPr>
                    <w:rPr>
                      <w:rFonts w:hint="eastAsia"/>
                      <w:lang w:val="en-US" w:eastAsia="zh-CN"/>
                    </w:rPr>
                  </w:pPr>
                  <w:r>
                    <w:rPr>
                      <w:rFonts w:hint="eastAsia"/>
                    </w:rPr>
                    <w:t>火灾、易燃易爆</w:t>
                  </w:r>
                </w:p>
              </w:tc>
              <w:tc>
                <w:tcPr>
                  <w:tcW w:w="4464" w:type="dxa"/>
                  <w:vAlign w:val="top"/>
                </w:tcPr>
                <w:p>
                  <w:pPr>
                    <w:rPr>
                      <w:rFonts w:hint="eastAsia"/>
                      <w:lang w:val="en-US" w:eastAsia="zh-CN"/>
                    </w:rPr>
                  </w:pPr>
                  <w:r>
                    <w:rPr>
                      <w:rFonts w:hint="eastAsia"/>
                    </w:rPr>
                    <w:t>1.消防设备的配置2.消防小组的成立3.应急预案的制订4.岗前培训 5。消防演习</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dxa"/>
                  <w:vAlign w:val="center"/>
                </w:tcPr>
                <w:p>
                  <w:pPr>
                    <w:rPr>
                      <w:rFonts w:hint="default"/>
                      <w:lang w:val="en-US" w:eastAsia="zh-CN"/>
                    </w:rPr>
                  </w:pPr>
                  <w:r>
                    <w:rPr>
                      <w:rFonts w:hint="eastAsia"/>
                    </w:rPr>
                    <w:t>触电</w:t>
                  </w:r>
                </w:p>
              </w:tc>
              <w:tc>
                <w:tcPr>
                  <w:tcW w:w="4464" w:type="dxa"/>
                  <w:vAlign w:val="top"/>
                </w:tcPr>
                <w:p>
                  <w:pPr>
                    <w:rPr>
                      <w:rFonts w:hint="eastAsia"/>
                      <w:lang w:val="en-US" w:eastAsia="zh-CN"/>
                    </w:rPr>
                  </w:pPr>
                  <w:r>
                    <w:rPr>
                      <w:rFonts w:hint="eastAsia"/>
                    </w:rPr>
                    <w:t xml:space="preserve"> 1．全面改造临时线路；2。电工持有效期内证件上岗； 3。月度安全检查；4。手持电动工具季度监测</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dxa"/>
                  <w:vAlign w:val="center"/>
                </w:tcPr>
                <w:p>
                  <w:pPr>
                    <w:rPr>
                      <w:rFonts w:hint="default"/>
                      <w:lang w:val="en-US" w:eastAsia="zh-CN"/>
                    </w:rPr>
                  </w:pPr>
                </w:p>
              </w:tc>
              <w:tc>
                <w:tcPr>
                  <w:tcW w:w="4464" w:type="dxa"/>
                  <w:vAlign w:val="center"/>
                </w:tcPr>
                <w:p>
                  <w:pPr>
                    <w:rPr>
                      <w:rFonts w:hint="eastAsia"/>
                      <w:lang w:val="en-US" w:eastAsia="zh-CN"/>
                    </w:rPr>
                  </w:pPr>
                </w:p>
              </w:tc>
              <w:tc>
                <w:tcPr>
                  <w:tcW w:w="1717" w:type="dxa"/>
                  <w:vAlign w:val="top"/>
                </w:tcPr>
                <w:p>
                  <w:pP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dxa"/>
                  <w:vAlign w:val="center"/>
                </w:tcPr>
                <w:p>
                  <w:pPr>
                    <w:rPr>
                      <w:rFonts w:hint="eastAsia"/>
                      <w:lang w:val="en-US" w:eastAsia="zh-CN"/>
                    </w:rPr>
                  </w:pPr>
                </w:p>
              </w:tc>
              <w:tc>
                <w:tcPr>
                  <w:tcW w:w="4464" w:type="dxa"/>
                  <w:vAlign w:val="top"/>
                </w:tcPr>
                <w:p>
                  <w:pPr>
                    <w:rPr>
                      <w:rFonts w:hint="eastAsia"/>
                      <w:lang w:val="en-US" w:eastAsia="zh-CN"/>
                    </w:rPr>
                  </w:pPr>
                </w:p>
              </w:tc>
              <w:tc>
                <w:tcPr>
                  <w:tcW w:w="1717"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dxa"/>
                  <w:vAlign w:val="center"/>
                </w:tcPr>
                <w:p>
                  <w:pPr>
                    <w:jc w:val="center"/>
                    <w:rPr>
                      <w:rFonts w:hint="eastAsia" w:ascii="Times New Roman" w:hAnsi="Times New Roman" w:eastAsia="宋体" w:cs="Times New Roman"/>
                      <w:kern w:val="2"/>
                      <w:sz w:val="18"/>
                      <w:szCs w:val="18"/>
                      <w:lang w:val="en-US" w:eastAsia="zh-CN" w:bidi="ar-SA"/>
                    </w:rPr>
                  </w:pPr>
                </w:p>
              </w:tc>
              <w:tc>
                <w:tcPr>
                  <w:tcW w:w="4464" w:type="dxa"/>
                  <w:vAlign w:val="center"/>
                </w:tcPr>
                <w:p>
                  <w:pPr>
                    <w:rPr>
                      <w:rFonts w:hint="eastAsia" w:ascii="Times New Roman" w:hAnsi="Times New Roman" w:eastAsia="宋体" w:cs="Times New Roman"/>
                      <w:kern w:val="2"/>
                      <w:sz w:val="18"/>
                      <w:szCs w:val="18"/>
                      <w:lang w:val="en-US" w:eastAsia="zh-CN" w:bidi="ar-SA"/>
                    </w:rPr>
                  </w:pPr>
                </w:p>
              </w:tc>
              <w:tc>
                <w:tcPr>
                  <w:tcW w:w="1717"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dxa"/>
                  <w:vAlign w:val="top"/>
                </w:tcPr>
                <w:p>
                  <w:pPr>
                    <w:rPr>
                      <w:rFonts w:hint="eastAsia" w:ascii="Times New Roman" w:hAnsi="Times New Roman" w:eastAsia="宋体" w:cs="Times New Roman"/>
                      <w:kern w:val="2"/>
                      <w:sz w:val="21"/>
                      <w:szCs w:val="24"/>
                      <w:lang w:val="en-US" w:eastAsia="zh-CN" w:bidi="ar-SA"/>
                    </w:rPr>
                  </w:pPr>
                </w:p>
              </w:tc>
              <w:tc>
                <w:tcPr>
                  <w:tcW w:w="4464" w:type="dxa"/>
                  <w:vAlign w:val="top"/>
                </w:tcPr>
                <w:p>
                  <w:pPr>
                    <w:rPr>
                      <w:rFonts w:hint="eastAsia" w:asciiTheme="minorEastAsia" w:hAnsiTheme="minorEastAsia" w:eastAsiaTheme="minorEastAsia"/>
                      <w:b w:val="0"/>
                      <w:bCs w:val="0"/>
                      <w:sz w:val="21"/>
                      <w:szCs w:val="21"/>
                      <w:lang w:val="en-US" w:eastAsia="zh-CN"/>
                    </w:rPr>
                  </w:pPr>
                </w:p>
              </w:tc>
              <w:tc>
                <w:tcPr>
                  <w:tcW w:w="1717" w:type="dxa"/>
                  <w:vAlign w:val="top"/>
                </w:tcPr>
                <w:p>
                  <w:pPr>
                    <w:rPr>
                      <w:rFonts w:hint="eastAsia"/>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火灾  □其他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lang w:val="en-US" w:eastAsia="zh-CN"/>
                    </w:rPr>
                  </w:pPr>
                  <w:r>
                    <w:rPr>
                      <w:rFonts w:hint="eastAsia" w:ascii="宋体" w:hAnsi="宋体" w:eastAsia="宋体" w:cs="Times New Roman"/>
                    </w:rPr>
                    <w:t>安全服务事故次数为0；</w:t>
                  </w:r>
                </w:p>
              </w:tc>
              <w:tc>
                <w:tcPr>
                  <w:tcW w:w="3136" w:type="dxa"/>
                  <w:shd w:val="clear" w:color="auto" w:fill="auto"/>
                  <w:vAlign w:val="center"/>
                </w:tcPr>
                <w:p>
                  <w:pPr>
                    <w:rPr>
                      <w:rFonts w:hint="eastAsia" w:ascii="宋体" w:hAnsi="宋体" w:eastAsia="宋体" w:cs="Times New Roman"/>
                      <w:lang w:val="en-GB" w:eastAsia="zh-CN"/>
                    </w:rPr>
                  </w:pPr>
                  <w:r>
                    <w:rPr>
                      <w:rFonts w:hint="eastAsia" w:ascii="宋体" w:hAnsi="宋体" w:eastAsia="宋体" w:cs="Times New Roman"/>
                    </w:rPr>
                    <w:t>安全服务事故次数</w:t>
                  </w:r>
                </w:p>
              </w:tc>
              <w:tc>
                <w:tcPr>
                  <w:tcW w:w="1350" w:type="dxa"/>
                  <w:shd w:val="clear" w:color="auto" w:fill="auto"/>
                  <w:vAlign w:val="center"/>
                </w:tcPr>
                <w:p>
                  <w:pPr>
                    <w:rPr>
                      <w:rFonts w:hint="default" w:ascii="宋体" w:hAnsi="宋体" w:eastAsia="宋体" w:cs="Times New Roman"/>
                      <w:lang w:val="en-US" w:eastAsia="zh-CN"/>
                    </w:rPr>
                  </w:pPr>
                  <w:r>
                    <w:rPr>
                      <w:rFonts w:hint="eastAsia" w:ascii="宋体" w:hAnsi="宋体" w:eastAsia="宋体" w:cs="Times New Roman"/>
                      <w:lang w:val="en-US" w:eastAsia="zh-CN"/>
                    </w:rPr>
                    <w:t>各部门</w:t>
                  </w:r>
                </w:p>
              </w:tc>
              <w:tc>
                <w:tcPr>
                  <w:tcW w:w="1774" w:type="dxa"/>
                  <w:shd w:val="clear" w:color="auto" w:fill="auto"/>
                  <w:vAlign w:val="center"/>
                </w:tcPr>
                <w:p>
                  <w:pPr>
                    <w:rPr>
                      <w:rFonts w:hint="default" w:ascii="宋体" w:hAnsi="宋体" w:eastAsia="宋体" w:cs="Times New Roman"/>
                      <w:lang w:val="en-US" w:eastAsia="zh-CN"/>
                    </w:rPr>
                  </w:pPr>
                  <w:r>
                    <w:rPr>
                      <w:rFonts w:hint="eastAsia" w:ascii="宋体" w:hAnsi="宋体" w:eastAsia="宋体" w:cs="Times New Roman"/>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lang w:val="en-US" w:eastAsia="zh-CN"/>
                    </w:rPr>
                  </w:pPr>
                  <w:r>
                    <w:rPr>
                      <w:rFonts w:hint="eastAsia" w:ascii="宋体" w:hAnsi="宋体" w:eastAsia="宋体" w:cs="Times New Roman"/>
                    </w:rPr>
                    <w:t>火灾事故发生次数为0；</w:t>
                  </w:r>
                </w:p>
              </w:tc>
              <w:tc>
                <w:tcPr>
                  <w:tcW w:w="3136" w:type="dxa"/>
                  <w:shd w:val="clear" w:color="auto" w:fill="auto"/>
                  <w:vAlign w:val="center"/>
                </w:tcPr>
                <w:p>
                  <w:pPr>
                    <w:rPr>
                      <w:rFonts w:hint="eastAsia" w:ascii="宋体" w:hAnsi="宋体" w:eastAsia="宋体" w:cs="Times New Roman"/>
                      <w:lang w:val="en-US" w:eastAsia="zh-CN"/>
                    </w:rPr>
                  </w:pPr>
                  <w:r>
                    <w:rPr>
                      <w:rFonts w:hint="eastAsia" w:ascii="宋体" w:hAnsi="宋体" w:eastAsia="宋体" w:cs="Times New Roman"/>
                    </w:rPr>
                    <w:t>火灾事故发生次数</w:t>
                  </w:r>
                </w:p>
              </w:tc>
              <w:tc>
                <w:tcPr>
                  <w:tcW w:w="1350" w:type="dxa"/>
                  <w:shd w:val="clear" w:color="auto" w:fill="auto"/>
                  <w:vAlign w:val="center"/>
                </w:tcPr>
                <w:p>
                  <w:pPr>
                    <w:rPr>
                      <w:rFonts w:hint="default" w:ascii="宋体" w:hAnsi="宋体" w:eastAsia="宋体" w:cs="Times New Roman"/>
                      <w:lang w:val="en-US" w:eastAsia="zh-CN"/>
                    </w:rPr>
                  </w:pPr>
                  <w:r>
                    <w:rPr>
                      <w:rFonts w:hint="eastAsia" w:ascii="宋体" w:hAnsi="宋体" w:eastAsia="宋体" w:cs="Times New Roman"/>
                      <w:lang w:val="en-US" w:eastAsia="zh-CN"/>
                    </w:rPr>
                    <w:t>各部门</w:t>
                  </w:r>
                </w:p>
              </w:tc>
              <w:tc>
                <w:tcPr>
                  <w:tcW w:w="1774" w:type="dxa"/>
                  <w:shd w:val="clear" w:color="auto" w:fill="auto"/>
                  <w:vAlign w:val="center"/>
                </w:tcPr>
                <w:p>
                  <w:pPr>
                    <w:rPr>
                      <w:rFonts w:hint="eastAsia" w:ascii="宋体" w:hAnsi="宋体" w:eastAsia="宋体" w:cs="Times New Roman"/>
                      <w:lang w:val="en-US" w:eastAsia="zh-CN"/>
                    </w:rPr>
                  </w:pPr>
                  <w:r>
                    <w:rPr>
                      <w:rFonts w:hint="eastAsia" w:ascii="宋体" w:hAnsi="宋体" w:eastAsia="宋体" w:cs="Times New Roman"/>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default" w:ascii="宋体" w:hAnsi="宋体" w:eastAsia="宋体" w:cs="Times New Roman"/>
                      <w:lang w:val="en-US" w:eastAsia="zh-CN"/>
                    </w:rPr>
                  </w:pPr>
                  <w:r>
                    <w:rPr>
                      <w:rFonts w:hint="eastAsia" w:ascii="宋体" w:hAnsi="宋体" w:eastAsia="宋体" w:cs="Times New Roman"/>
                    </w:rPr>
                    <w:t>意外事故年度不超过5起。</w:t>
                  </w:r>
                </w:p>
              </w:tc>
              <w:tc>
                <w:tcPr>
                  <w:tcW w:w="3136" w:type="dxa"/>
                  <w:shd w:val="clear" w:color="auto" w:fill="auto"/>
                  <w:vAlign w:val="center"/>
                </w:tcPr>
                <w:p>
                  <w:pPr>
                    <w:rPr>
                      <w:rFonts w:hint="eastAsia" w:ascii="宋体" w:hAnsi="宋体" w:eastAsia="宋体" w:cs="Times New Roman"/>
                      <w:lang w:val="en-US" w:eastAsia="zh-CN"/>
                    </w:rPr>
                  </w:pPr>
                  <w:r>
                    <w:rPr>
                      <w:rFonts w:hint="eastAsia" w:ascii="宋体" w:hAnsi="宋体" w:eastAsia="宋体" w:cs="Times New Roman"/>
                    </w:rPr>
                    <w:t>意外事故年度发生次数</w:t>
                  </w:r>
                </w:p>
              </w:tc>
              <w:tc>
                <w:tcPr>
                  <w:tcW w:w="1350" w:type="dxa"/>
                  <w:shd w:val="clear" w:color="auto" w:fill="auto"/>
                  <w:vAlign w:val="center"/>
                </w:tcPr>
                <w:p>
                  <w:pPr>
                    <w:rPr>
                      <w:rFonts w:hint="default" w:ascii="宋体" w:hAnsi="宋体" w:eastAsia="宋体" w:cs="Times New Roman"/>
                      <w:lang w:val="en-US" w:eastAsia="zh-CN"/>
                    </w:rPr>
                  </w:pPr>
                  <w:r>
                    <w:rPr>
                      <w:rFonts w:hint="eastAsia" w:ascii="宋体" w:hAnsi="宋体" w:eastAsia="宋体" w:cs="Times New Roman"/>
                      <w:lang w:val="en-US" w:eastAsia="zh-CN"/>
                    </w:rPr>
                    <w:t>各部门</w:t>
                  </w:r>
                </w:p>
              </w:tc>
              <w:tc>
                <w:tcPr>
                  <w:tcW w:w="1774" w:type="dxa"/>
                  <w:shd w:val="clear" w:color="auto" w:fill="auto"/>
                  <w:vAlign w:val="center"/>
                </w:tcPr>
                <w:p>
                  <w:pPr>
                    <w:rPr>
                      <w:rFonts w:hint="default" w:ascii="宋体" w:hAnsi="宋体" w:eastAsia="宋体" w:cs="Times New Roman"/>
                      <w:lang w:val="en-US" w:eastAsia="zh-CN"/>
                    </w:rPr>
                  </w:pPr>
                  <w:r>
                    <w:rPr>
                      <w:rFonts w:hint="eastAsia" w:ascii="宋体" w:hAnsi="宋体" w:eastAsia="宋体" w:cs="Times New Roman"/>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lang w:eastAsia="zh-CN"/>
              </w:rPr>
              <w:t>■</w:t>
            </w:r>
            <w:r>
              <w:rPr>
                <w:rFonts w:hint="eastAsia"/>
              </w:rPr>
              <w:t xml:space="preserve">基础设施  </w:t>
            </w:r>
            <w:r>
              <w:rPr>
                <w:rFonts w:hint="eastAsia"/>
                <w:lang w:eastAsia="zh-CN"/>
              </w:rPr>
              <w:t>■</w:t>
            </w:r>
            <w:r>
              <w:rPr>
                <w:rFonts w:hint="eastAsia"/>
              </w:rPr>
              <w:t xml:space="preserve">技术  </w:t>
            </w:r>
            <w:r>
              <w:rPr>
                <w:rFonts w:hint="eastAsia"/>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highlight w:val="none"/>
              </w:rPr>
            </w:pPr>
            <w:r>
              <w:rPr>
                <w:rFonts w:hint="eastAsia"/>
              </w:rPr>
              <w:t>主要生产设备有：</w:t>
            </w:r>
            <w:r>
              <w:rPr>
                <w:rFonts w:hint="eastAsia" w:ascii="宋体" w:hAnsi="宋体" w:cs="宋体"/>
                <w:szCs w:val="21"/>
                <w:highlight w:val="none"/>
              </w:rPr>
              <w:t>办公设</w:t>
            </w:r>
            <w:r>
              <w:rPr>
                <w:rFonts w:hint="eastAsia" w:ascii="宋体" w:hAnsi="宋体" w:cs="宋体"/>
                <w:szCs w:val="21"/>
              </w:rPr>
              <w:t>备、电脑、</w:t>
            </w:r>
            <w:r>
              <w:rPr>
                <w:rFonts w:hint="eastAsia"/>
                <w:szCs w:val="21"/>
              </w:rPr>
              <w:t>GNSS接收机、全站仪、水准仪等</w:t>
            </w:r>
            <w:r>
              <w:rPr>
                <w:rFonts w:hint="eastAsia" w:ascii="宋体" w:hAnsi="宋体"/>
                <w:szCs w:val="21"/>
              </w:rPr>
              <w:t>等</w:t>
            </w:r>
          </w:p>
          <w:p>
            <w:pPr>
              <w:rPr>
                <w:highlight w:val="none"/>
              </w:rPr>
            </w:pPr>
            <w:r>
              <w:rPr>
                <w:rFonts w:hint="eastAsia" w:ascii="Wingdings" w:hAnsi="Wingdings"/>
                <w:highlight w:val="none"/>
                <w:lang w:eastAsia="zh-CN"/>
              </w:rPr>
              <w:t>□</w:t>
            </w:r>
            <w:r>
              <w:rPr>
                <w:rFonts w:hint="eastAsia"/>
                <w:highlight w:val="none"/>
              </w:rPr>
              <w:t xml:space="preserve">急停按钮 </w:t>
            </w:r>
            <w:r>
              <w:rPr>
                <w:rFonts w:hint="eastAsia" w:ascii="Wingdings" w:hAnsi="Wingdings"/>
                <w:highlight w:val="none"/>
                <w:lang w:eastAsia="zh-CN"/>
              </w:rPr>
              <w:t>□</w:t>
            </w:r>
            <w:r>
              <w:rPr>
                <w:rFonts w:hint="eastAsia"/>
                <w:highlight w:val="none"/>
              </w:rPr>
              <w:t xml:space="preserve">光栅 </w:t>
            </w:r>
            <w:r>
              <w:rPr>
                <w:rFonts w:hint="eastAsia" w:ascii="Wingdings" w:hAnsi="Wingdings"/>
                <w:highlight w:val="none"/>
                <w:lang w:eastAsia="zh-CN"/>
              </w:rPr>
              <w:t>□</w:t>
            </w:r>
            <w:r>
              <w:rPr>
                <w:rFonts w:hint="eastAsia"/>
                <w:highlight w:val="none"/>
              </w:rPr>
              <w:t xml:space="preserve">联锁装置  </w:t>
            </w:r>
            <w:r>
              <w:rPr>
                <w:rFonts w:hint="eastAsia" w:ascii="Wingdings" w:hAnsi="Wingdings"/>
                <w:highlight w:val="none"/>
                <w:lang w:eastAsia="zh-CN"/>
              </w:rPr>
              <w:t>□</w:t>
            </w:r>
            <w:r>
              <w:rPr>
                <w:rFonts w:hint="eastAsia"/>
                <w:highlight w:val="none"/>
              </w:rPr>
              <w:t xml:space="preserve">漏电开关 </w:t>
            </w:r>
            <w:r>
              <w:rPr>
                <w:rFonts w:hint="eastAsia" w:ascii="Wingdings" w:hAnsi="Wingdings"/>
                <w:highlight w:val="none"/>
                <w:lang w:eastAsia="zh-CN"/>
              </w:rPr>
              <w:t>□</w:t>
            </w:r>
            <w:r>
              <w:rPr>
                <w:rFonts w:hint="eastAsia"/>
                <w:highlight w:val="none"/>
              </w:rPr>
              <w:t xml:space="preserve">报警系统  </w:t>
            </w:r>
            <w:r>
              <w:rPr>
                <w:rFonts w:hint="eastAsia" w:ascii="Wingdings" w:hAnsi="Wingdings"/>
                <w:highlight w:val="none"/>
                <w:lang w:eastAsia="zh-CN"/>
              </w:rPr>
              <w:t>□</w:t>
            </w:r>
            <w:r>
              <w:rPr>
                <w:rFonts w:hint="eastAsia"/>
                <w:highlight w:val="none"/>
              </w:rPr>
              <w:t xml:space="preserve">消防系统  </w:t>
            </w:r>
            <w:r>
              <w:rPr>
                <w:rFonts w:hint="eastAsia" w:ascii="Wingdings" w:hAnsi="Wingdings"/>
                <w:highlight w:val="none"/>
                <w:lang w:eastAsia="zh-CN"/>
              </w:rPr>
              <w:t>□</w:t>
            </w:r>
            <w:r>
              <w:rPr>
                <w:rFonts w:hint="eastAsia"/>
                <w:highlight w:val="none"/>
              </w:rPr>
              <w:t xml:space="preserve">不适用 </w:t>
            </w:r>
          </w:p>
          <w:p>
            <w:pPr>
              <w:rPr>
                <w:highlight w:val="none"/>
                <w:u w:val="single"/>
              </w:rPr>
            </w:pPr>
          </w:p>
          <w:p>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压力容器</w:t>
            </w:r>
            <w:r>
              <w:rPr>
                <w:rFonts w:hint="eastAsia"/>
              </w:rPr>
              <w:t xml:space="preserve">  </w:t>
            </w:r>
            <w:r>
              <w:rPr>
                <w:rFonts w:hint="eastAsia" w:ascii="Wingdings" w:hAnsi="Wingdings"/>
                <w:lang w:eastAsia="zh-CN"/>
              </w:rPr>
              <w:t>□</w:t>
            </w:r>
            <w:r>
              <w:rPr>
                <w:rFonts w:hint="eastAsia"/>
              </w:rPr>
              <w:t xml:space="preserve">压力管道  </w:t>
            </w:r>
            <w:r>
              <w:rPr>
                <w:rFonts w:hint="eastAsia"/>
                <w:lang w:eastAsia="zh-CN"/>
              </w:rPr>
              <w:t>■</w:t>
            </w:r>
            <w:r>
              <w:rPr>
                <w:rFonts w:hint="eastAsia"/>
              </w:rPr>
              <w:t xml:space="preserve">不适用 </w:t>
            </w:r>
          </w:p>
          <w:p>
            <w:r>
              <w:rPr>
                <w:rFonts w:hint="eastAsia"/>
              </w:rPr>
              <w:t>辅助场所：</w:t>
            </w:r>
            <w:r>
              <w:rPr>
                <w:rFonts w:hint="eastAsia" w:ascii="Wingdings" w:hAnsi="Wingdings"/>
                <w:highlight w:val="none"/>
                <w:lang w:eastAsia="zh-CN"/>
              </w:rPr>
              <w:t>□</w:t>
            </w:r>
            <w:r>
              <w:rPr>
                <w:rFonts w:hint="eastAsia"/>
              </w:rPr>
              <w:t xml:space="preserve">高压配电室 </w:t>
            </w:r>
            <w:r>
              <w:rPr>
                <w:rFonts w:hint="eastAsia" w:ascii="Wingdings" w:hAnsi="Wingdings"/>
                <w:highlight w:val="none"/>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sym w:font="Wingdings 2" w:char="00A3"/>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ascii="Wingdings" w:hAnsi="Wingdings"/>
                <w:highlight w:val="none"/>
                <w:lang w:eastAsia="zh-CN"/>
              </w:rPr>
              <w:t>□</w:t>
            </w:r>
            <w:r>
              <w:rPr>
                <w:rFonts w:hint="eastAsia"/>
              </w:rPr>
              <w:t>电工</w:t>
            </w:r>
            <w:r>
              <w:rPr>
                <w:rFonts w:hint="eastAsia" w:ascii="Wingdings" w:hAnsi="Wingdings"/>
                <w:highlight w:val="none"/>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 xml:space="preserve">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Pr>
              <w:rPr>
                <w:rFonts w:hint="default" w:eastAsia="宋体"/>
                <w:lang w:val="en-US" w:eastAsia="zh-CN"/>
              </w:rPr>
            </w:pPr>
            <w:r>
              <w:rPr>
                <w:rFonts w:hint="eastAsia"/>
              </w:rPr>
              <w:t xml:space="preserve">实施了员工三级安全教育： </w:t>
            </w:r>
            <w:r>
              <w:rPr>
                <w:rFonts w:hint="eastAsia"/>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r>
              <w:rPr>
                <w:rFonts w:hint="eastAsia"/>
                <w:lang w:val="en-US" w:eastAsia="zh-CN"/>
              </w:rPr>
              <w:t xml:space="preserve">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按制度进行管理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eastAsia="宋体"/>
              </w:rPr>
              <w:t>于</w:t>
            </w:r>
            <w:r>
              <w:rPr>
                <w:rFonts w:hint="eastAsia" w:eastAsia="宋体"/>
                <w:u w:val="single"/>
              </w:rPr>
              <w:t>20</w:t>
            </w:r>
            <w:r>
              <w:rPr>
                <w:rFonts w:hint="eastAsia" w:eastAsia="宋体"/>
                <w:u w:val="single"/>
                <w:lang w:val="en-US" w:eastAsia="zh-CN"/>
              </w:rPr>
              <w:t>21</w:t>
            </w:r>
            <w:r>
              <w:rPr>
                <w:rFonts w:hint="eastAsia" w:eastAsia="宋体"/>
                <w:u w:val="single"/>
              </w:rPr>
              <w:t>年</w:t>
            </w:r>
            <w:r>
              <w:rPr>
                <w:rFonts w:hint="eastAsia"/>
                <w:u w:val="single"/>
                <w:lang w:val="en-US" w:eastAsia="zh-CN"/>
              </w:rPr>
              <w:t>6</w:t>
            </w:r>
            <w:r>
              <w:rPr>
                <w:rFonts w:hint="eastAsia" w:eastAsia="宋体"/>
                <w:u w:val="single"/>
              </w:rPr>
              <w:t>月</w:t>
            </w:r>
            <w:r>
              <w:rPr>
                <w:rFonts w:hint="eastAsia"/>
                <w:u w:val="single"/>
                <w:lang w:val="en-US" w:eastAsia="zh-CN"/>
              </w:rPr>
              <w:t>10</w:t>
            </w:r>
            <w:r>
              <w:rPr>
                <w:rFonts w:hint="eastAsia" w:eastAsia="宋体"/>
                <w:u w:val="single"/>
              </w:rPr>
              <w:t>日</w:t>
            </w:r>
            <w:r>
              <w:rPr>
                <w:rFonts w:hint="eastAsia" w:eastAsia="宋体"/>
              </w:rPr>
              <w:t xml:space="preserve">进行了火灾消防的演练；并总结了预案的可行性和有效性。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highlight w:val="none"/>
              </w:rPr>
            </w:pPr>
            <w:r>
              <w:rPr>
                <w:rFonts w:hint="eastAsia"/>
                <w:highlight w:val="none"/>
              </w:rPr>
              <w:t>绩效评价</w:t>
            </w:r>
          </w:p>
        </w:tc>
        <w:tc>
          <w:tcPr>
            <w:tcW w:w="8748" w:type="dxa"/>
            <w:shd w:val="clear" w:color="auto" w:fill="F2DCDC" w:themeFill="accent2" w:themeFillTint="32"/>
          </w:tcPr>
          <w:p>
            <w:pPr>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rPr>
                <w:highlight w:val="none"/>
              </w:rPr>
            </w:pPr>
            <w:r>
              <w:rPr>
                <w:rFonts w:hint="eastAsia"/>
                <w:highlight w:val="none"/>
              </w:rPr>
              <w:t>组织已分析和评价通过监视和测量获得的适当的数据和信息。</w:t>
            </w:r>
          </w:p>
          <w:p>
            <w:pPr>
              <w:rPr>
                <w:highlight w:val="none"/>
              </w:rPr>
            </w:pPr>
            <w:r>
              <w:rPr>
                <w:rFonts w:hint="eastAsia"/>
                <w:highlight w:val="none"/>
              </w:rPr>
              <w:t>组织已建立、实施并保持评价其合规义务履行情况所需的过程。</w:t>
            </w:r>
          </w:p>
          <w:p>
            <w:pPr>
              <w:rPr>
                <w:highlight w:val="none"/>
              </w:rPr>
            </w:pPr>
            <w:r>
              <w:rPr>
                <w:rFonts w:hint="eastAsia"/>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rPr>
              <w:t>20</w:t>
            </w:r>
            <w:r>
              <w:rPr>
                <w:rFonts w:hint="eastAsia"/>
                <w:highlight w:val="none"/>
                <w:u w:val="single"/>
                <w:lang w:val="en-US" w:eastAsia="zh-CN"/>
              </w:rPr>
              <w:t>21</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25</w:t>
            </w:r>
            <w:r>
              <w:rPr>
                <w:rFonts w:hint="eastAsia"/>
                <w:highlight w:val="none"/>
                <w:u w:val="single"/>
              </w:rPr>
              <w:t>日</w:t>
            </w:r>
          </w:p>
          <w:p>
            <w:pPr>
              <w:rPr>
                <w:highlight w:val="none"/>
              </w:rPr>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 xml:space="preserve">组织在适当阶段实施策划的安排，以验证环境法律法规的要求已得到满足。 </w:t>
            </w:r>
          </w:p>
          <w:p>
            <w:pPr>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u w:val="single"/>
              </w:rPr>
              <w:t xml:space="preserve">                                   </w:t>
            </w:r>
            <w:r>
              <w:rPr>
                <w:rFonts w:hint="eastAsia"/>
                <w:highlight w:val="none"/>
              </w:rPr>
              <w:t>。</w:t>
            </w:r>
          </w:p>
          <w:p>
            <w:pPr>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《防雷检测报告》编号：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8</w:t>
            </w:r>
            <w:r>
              <w:rPr>
                <w:rFonts w:hint="eastAsia"/>
                <w:u w:val="single"/>
              </w:rPr>
              <w:t xml:space="preserve"> 月</w:t>
            </w:r>
            <w:r>
              <w:rPr>
                <w:rFonts w:hint="eastAsia"/>
                <w:u w:val="single"/>
                <w:lang w:val="en-US" w:eastAsia="zh-CN"/>
              </w:rPr>
              <w:t>2日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2021</w:t>
            </w:r>
            <w:r>
              <w:rPr>
                <w:rFonts w:hint="eastAsia"/>
                <w:u w:val="single"/>
              </w:rPr>
              <w:t>年</w:t>
            </w:r>
            <w:r>
              <w:rPr>
                <w:rFonts w:hint="eastAsia"/>
                <w:u w:val="single"/>
                <w:lang w:val="en-US" w:eastAsia="zh-CN"/>
              </w:rPr>
              <w:t>8</w:t>
            </w:r>
            <w:r>
              <w:rPr>
                <w:rFonts w:hint="eastAsia"/>
                <w:u w:val="single"/>
              </w:rPr>
              <w:t>月</w:t>
            </w:r>
            <w:r>
              <w:rPr>
                <w:rFonts w:hint="eastAsia"/>
                <w:u w:val="single"/>
                <w:lang w:val="en-US" w:eastAsia="zh-CN"/>
              </w:rPr>
              <w:t>18</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bookmarkStart w:id="35" w:name="_GoBack"/>
            <w:bookmarkEnd w:id="35"/>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840242"/>
    <w:rsid w:val="01A0445B"/>
    <w:rsid w:val="01AC51EE"/>
    <w:rsid w:val="020F4C79"/>
    <w:rsid w:val="03A40F66"/>
    <w:rsid w:val="0534104C"/>
    <w:rsid w:val="0636581A"/>
    <w:rsid w:val="06516FF1"/>
    <w:rsid w:val="07A71093"/>
    <w:rsid w:val="090D3971"/>
    <w:rsid w:val="091076DF"/>
    <w:rsid w:val="09130D3F"/>
    <w:rsid w:val="0CB24CD1"/>
    <w:rsid w:val="0FBD72F0"/>
    <w:rsid w:val="104C0B98"/>
    <w:rsid w:val="12627CDE"/>
    <w:rsid w:val="14A55507"/>
    <w:rsid w:val="16687F5F"/>
    <w:rsid w:val="16E077CC"/>
    <w:rsid w:val="170656C5"/>
    <w:rsid w:val="18CA0ECB"/>
    <w:rsid w:val="19295935"/>
    <w:rsid w:val="193E7B04"/>
    <w:rsid w:val="1B843257"/>
    <w:rsid w:val="1B860F15"/>
    <w:rsid w:val="1C3457DA"/>
    <w:rsid w:val="1E953451"/>
    <w:rsid w:val="1F204623"/>
    <w:rsid w:val="1F572E57"/>
    <w:rsid w:val="1FD05852"/>
    <w:rsid w:val="20503CA4"/>
    <w:rsid w:val="21653F1D"/>
    <w:rsid w:val="22911E0B"/>
    <w:rsid w:val="22A51CFD"/>
    <w:rsid w:val="24051901"/>
    <w:rsid w:val="248E2393"/>
    <w:rsid w:val="25AC173B"/>
    <w:rsid w:val="25CE170A"/>
    <w:rsid w:val="265E3A42"/>
    <w:rsid w:val="28103DB1"/>
    <w:rsid w:val="28517506"/>
    <w:rsid w:val="288D672A"/>
    <w:rsid w:val="2926228A"/>
    <w:rsid w:val="293D16CA"/>
    <w:rsid w:val="2ADD6DE3"/>
    <w:rsid w:val="2C7C0A64"/>
    <w:rsid w:val="2CB72540"/>
    <w:rsid w:val="2D9E5673"/>
    <w:rsid w:val="2DA8014F"/>
    <w:rsid w:val="2DB64BD6"/>
    <w:rsid w:val="2E9628FC"/>
    <w:rsid w:val="2F797DE8"/>
    <w:rsid w:val="31952365"/>
    <w:rsid w:val="322E5152"/>
    <w:rsid w:val="32C113AA"/>
    <w:rsid w:val="32C44278"/>
    <w:rsid w:val="3398422E"/>
    <w:rsid w:val="34310D44"/>
    <w:rsid w:val="35E126D9"/>
    <w:rsid w:val="367A0618"/>
    <w:rsid w:val="37AE6353"/>
    <w:rsid w:val="393F52F3"/>
    <w:rsid w:val="3944326D"/>
    <w:rsid w:val="39D04D76"/>
    <w:rsid w:val="3A7F5BB2"/>
    <w:rsid w:val="3E632C05"/>
    <w:rsid w:val="3E815A8A"/>
    <w:rsid w:val="3F9843D8"/>
    <w:rsid w:val="402F5E03"/>
    <w:rsid w:val="42D37CBF"/>
    <w:rsid w:val="432C1851"/>
    <w:rsid w:val="44850633"/>
    <w:rsid w:val="44F605D2"/>
    <w:rsid w:val="45902ABD"/>
    <w:rsid w:val="45D82AE3"/>
    <w:rsid w:val="4B11747E"/>
    <w:rsid w:val="4CC853CC"/>
    <w:rsid w:val="4CD329B8"/>
    <w:rsid w:val="4D5F37A8"/>
    <w:rsid w:val="4E647CE4"/>
    <w:rsid w:val="52F676C0"/>
    <w:rsid w:val="53B20444"/>
    <w:rsid w:val="57CD1789"/>
    <w:rsid w:val="5A311594"/>
    <w:rsid w:val="5B2B507F"/>
    <w:rsid w:val="5B7938F5"/>
    <w:rsid w:val="5B955DA3"/>
    <w:rsid w:val="5C2748BE"/>
    <w:rsid w:val="5DC93614"/>
    <w:rsid w:val="5E2B5898"/>
    <w:rsid w:val="626E5E04"/>
    <w:rsid w:val="635F4474"/>
    <w:rsid w:val="638A1655"/>
    <w:rsid w:val="65173D31"/>
    <w:rsid w:val="65BB2F91"/>
    <w:rsid w:val="66A95AF3"/>
    <w:rsid w:val="66C65AD4"/>
    <w:rsid w:val="68004902"/>
    <w:rsid w:val="69360B95"/>
    <w:rsid w:val="69E1192B"/>
    <w:rsid w:val="69F3360D"/>
    <w:rsid w:val="6A4371D1"/>
    <w:rsid w:val="6AD771F6"/>
    <w:rsid w:val="6B593E73"/>
    <w:rsid w:val="6BE5290F"/>
    <w:rsid w:val="6C0F0CD8"/>
    <w:rsid w:val="6CB24A71"/>
    <w:rsid w:val="6D0A13BB"/>
    <w:rsid w:val="6DF84891"/>
    <w:rsid w:val="6ED16B9B"/>
    <w:rsid w:val="6F864BFD"/>
    <w:rsid w:val="70E817F1"/>
    <w:rsid w:val="72520993"/>
    <w:rsid w:val="74F46722"/>
    <w:rsid w:val="752A13A2"/>
    <w:rsid w:val="752B5732"/>
    <w:rsid w:val="76EE5EC0"/>
    <w:rsid w:val="77693638"/>
    <w:rsid w:val="77AB6F37"/>
    <w:rsid w:val="786D14EE"/>
    <w:rsid w:val="78AB14F2"/>
    <w:rsid w:val="79622867"/>
    <w:rsid w:val="7C086883"/>
    <w:rsid w:val="7C8E5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2021-10-14T07:06:39Z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