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268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丹东华星纺织品有限公司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李健、赵杨杨</w:t>
            </w:r>
            <w:r>
              <w:rPr>
                <w:rFonts w:hint="eastAsia"/>
              </w:rPr>
              <w:t xml:space="preserve"> </w:t>
            </w:r>
            <w:r>
              <w:rPr>
                <w:rFonts w:hint="eastAsia"/>
              </w:rPr>
              <w:t>赵杨杨</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68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2023-N1OHSMS-1280487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赵杨杨</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210604198410240327</w:t>
            </w:r>
          </w:p>
        </w:tc>
        <w:tc>
          <w:tcPr>
            <w:tcW w:w="3145" w:type="dxa"/>
            <w:vAlign w:val="center"/>
          </w:tcPr>
          <w:p w14:paraId="428F7A98">
            <w:pPr>
              <w:spacing w:line="360" w:lineRule="auto"/>
              <w:jc w:val="left"/>
              <w:rPr>
                <w:rFonts w:asciiTheme="minorEastAsia" w:eastAsiaTheme="minorEastAsia" w:hAnsiTheme="minorEastAsia"/>
              </w:rPr>
            </w:pPr>
            <w:r>
              <w:t>04.01.00,04.02.00,04.03.00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李健、赵杨杨</w:t>
      </w:r>
      <w:r>
        <w:rPr>
          <w:rFonts w:hint="eastAsia"/>
          <w:b/>
          <w:color w:val="auto"/>
          <w:kern w:val="2"/>
          <w:sz w:val="21"/>
          <w:lang w:val="en-GB"/>
        </w:rPr>
        <w:t xml:space="preserve"> </w:t>
      </w:r>
      <w:r>
        <w:rPr>
          <w:rFonts w:hint="eastAsia"/>
          <w:b/>
          <w:color w:val="auto"/>
          <w:kern w:val="2"/>
          <w:sz w:val="21"/>
          <w:lang w:val="en-GB"/>
        </w:rPr>
        <w:t>赵杨杨</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14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