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1031-2021-Q</w:t>
      </w:r>
      <w:bookmarkEnd w:id="0"/>
    </w:p>
    <w:p>
      <w:pPr>
        <w:jc w:val="left"/>
        <w:rPr>
          <w:sz w:val="32"/>
          <w:szCs w:val="32"/>
          <w:u w:val="single"/>
        </w:rPr>
      </w:pP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重庆凯琦玛科技有限公司</w:t>
      </w:r>
      <w:bookmarkEnd w:id="1"/>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重庆凯琦玛科技有限公司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重庆市九龙坡区西彭镇西竹路2栋33号</w:t>
            </w:r>
            <w:bookmarkEnd w:id="6"/>
          </w:p>
        </w:tc>
        <w:tc>
          <w:tcPr>
            <w:tcW w:w="1242" w:type="dxa"/>
            <w:vMerge w:val="restart"/>
            <w:vAlign w:val="center"/>
          </w:tcPr>
          <w:p>
            <w:r>
              <w:rPr>
                <w:rFonts w:hint="eastAsia"/>
              </w:rPr>
              <w:t>邮编</w:t>
            </w:r>
          </w:p>
        </w:tc>
        <w:tc>
          <w:tcPr>
            <w:tcW w:w="1771" w:type="dxa"/>
          </w:tcPr>
          <w:p>
            <w:bookmarkStart w:id="7" w:name="注册邮编"/>
            <w:r>
              <w:t>401326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r>
              <w:t>重庆市九龙坡区西彭镇铝城大道74号附1号岭欧环保内</w:t>
            </w:r>
          </w:p>
        </w:tc>
        <w:tc>
          <w:tcPr>
            <w:tcW w:w="1242" w:type="dxa"/>
            <w:vMerge w:val="continue"/>
            <w:vAlign w:val="center"/>
          </w:tcPr>
          <w:p/>
        </w:tc>
        <w:tc>
          <w:tcPr>
            <w:tcW w:w="1771" w:type="dxa"/>
          </w:tcPr>
          <w:p>
            <w:bookmarkStart w:id="8" w:name="办公邮编"/>
            <w:r>
              <w:t>401326</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赵平</w:t>
            </w:r>
            <w:bookmarkEnd w:id="9"/>
          </w:p>
        </w:tc>
        <w:tc>
          <w:tcPr>
            <w:tcW w:w="1313" w:type="dxa"/>
            <w:vAlign w:val="center"/>
          </w:tcPr>
          <w:p>
            <w:r>
              <w:rPr>
                <w:rFonts w:hint="eastAsia"/>
              </w:rPr>
              <w:t>电话.</w:t>
            </w:r>
          </w:p>
        </w:tc>
        <w:tc>
          <w:tcPr>
            <w:tcW w:w="2180" w:type="dxa"/>
            <w:vAlign w:val="center"/>
          </w:tcPr>
          <w:p>
            <w:bookmarkStart w:id="10" w:name="联系人电话"/>
            <w:r>
              <w:t>18580558262</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刘利</w:t>
            </w:r>
            <w:bookmarkEnd w:id="12"/>
          </w:p>
        </w:tc>
        <w:tc>
          <w:tcPr>
            <w:tcW w:w="1313" w:type="dxa"/>
            <w:vAlign w:val="center"/>
          </w:tcPr>
          <w:p>
            <w:r>
              <w:rPr>
                <w:rFonts w:hint="eastAsia"/>
              </w:rPr>
              <w:t>管理者代表</w:t>
            </w:r>
          </w:p>
        </w:tc>
        <w:tc>
          <w:tcPr>
            <w:tcW w:w="2180" w:type="dxa"/>
          </w:tcPr>
          <w:p>
            <w:bookmarkStart w:id="13" w:name="管理者代表"/>
            <w:r>
              <w:t>赵平</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color w:val="000000"/>
                <w:highlight w:val="none"/>
              </w:rPr>
              <w:t>原料检验---压铸----去毛刺----抛丸钝化（委外）---机加----检验---打包---入成品库</w:t>
            </w:r>
            <w:r>
              <w:rPr>
                <w:rFonts w:hint="eastAsia"/>
                <w:color w:val="0000FF"/>
                <w:highlight w:val="none"/>
              </w:rPr>
              <w:pict>
                <v:shape id="_x0000_s1026" o:spid="_x0000_s1026" o:spt="94" type="#_x0000_t94" style="position:absolute;left:0pt;margin-left:570.9pt;margin-top:5.25pt;height:38.25pt;width:76.9pt;z-index:251662336;mso-width-relative:page;mso-height-relative:page;" coordsize="21600,21600">
                  <v:path/>
                  <v:fill focussize="0,0"/>
                  <v:stroke joinstyle="miter"/>
                  <v:imagedata o:title=""/>
                  <o:lock v:ext="edit"/>
                </v:shape>
              </w:pic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r>
              <w:rPr>
                <w:rFonts w:hint="eastAsia" w:ascii="宋体" w:hAnsi="宋体" w:cs="宋体"/>
                <w:color w:val="000000"/>
                <w:kern w:val="0"/>
                <w:szCs w:val="21"/>
              </w:rPr>
              <w:t xml:space="preserve"> </w:t>
            </w:r>
            <w:bookmarkStart w:id="14" w:name="审核日期"/>
            <w:r>
              <w:rPr>
                <w:rFonts w:hint="eastAsia" w:ascii="宋体" w:hAnsi="宋体" w:cs="宋体"/>
                <w:color w:val="000000"/>
                <w:kern w:val="0"/>
                <w:szCs w:val="21"/>
              </w:rPr>
              <w:t>2021年10月11日 上午至2021年10月11日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7" w:hRule="exact"/>
        </w:trPr>
        <w:tc>
          <w:tcPr>
            <w:tcW w:w="1632" w:type="dxa"/>
            <w:gridSpan w:val="2"/>
          </w:tcPr>
          <w:p>
            <w:r>
              <w:rPr>
                <w:rFonts w:hint="eastAsia"/>
              </w:rPr>
              <w:t>审核准则</w:t>
            </w:r>
          </w:p>
          <w:p/>
        </w:tc>
        <w:tc>
          <w:tcPr>
            <w:tcW w:w="7831" w:type="dxa"/>
            <w:gridSpan w:val="3"/>
            <w:tcMar>
              <w:left w:w="113" w:type="dxa"/>
            </w:tcMar>
          </w:tcPr>
          <w:p>
            <w:pPr>
              <w:rPr>
                <w:lang w:val="de-DE"/>
              </w:rPr>
            </w:pPr>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5</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0" w:name="二阶段勾选"/>
            <w:r>
              <w:rPr>
                <w:rFonts w:hint="eastAsia"/>
              </w:rPr>
              <w:t>■</w:t>
            </w:r>
            <w:bookmarkEnd w:id="20"/>
            <w:r>
              <w:rPr>
                <w:rFonts w:hint="eastAsia"/>
              </w:rPr>
              <w:t>初审二阶段</w:t>
            </w:r>
            <w:bookmarkStart w:id="21" w:name="监督勾选Add1"/>
            <w:r>
              <w:rPr>
                <w:rFonts w:hint="eastAsia"/>
              </w:rPr>
              <w:t>□</w:t>
            </w:r>
            <w:bookmarkEnd w:id="21"/>
            <w:r>
              <w:rPr>
                <w:rFonts w:hint="eastAsia"/>
              </w:rPr>
              <w:t>监督第</w:t>
            </w:r>
            <w:bookmarkStart w:id="22" w:name="监督次数"/>
            <w:bookmarkEnd w:id="22"/>
            <w:r>
              <w:rPr>
                <w:rFonts w:hint="eastAsia"/>
              </w:rPr>
              <w:t>次监督审核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5" w:name="审核范围"/>
            <w:r>
              <w:rPr>
                <w:rFonts w:ascii="宋体" w:hAnsi="宋体" w:cs="宋体"/>
                <w:color w:val="000000"/>
                <w:kern w:val="0"/>
                <w:szCs w:val="21"/>
              </w:rPr>
              <w:t>摩托车机油滤清器、通用机械发动机气缸头的生产</w:t>
            </w:r>
            <w:bookmarkEnd w:id="25"/>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6" w:name="专业代码"/>
            <w:r>
              <w:rPr>
                <w:rFonts w:hint="eastAsia" w:ascii="宋体" w:hAnsi="宋体" w:cs="宋体"/>
                <w:color w:val="000000"/>
                <w:kern w:val="0"/>
                <w:szCs w:val="24"/>
              </w:rPr>
              <w:t>18.01.01;22.05.01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2021年</w:t>
            </w:r>
            <w:r>
              <w:rPr>
                <w:rFonts w:hint="eastAsia"/>
                <w:lang w:val="en-US" w:eastAsia="zh-CN"/>
              </w:rPr>
              <w:t>1</w:t>
            </w:r>
            <w:r>
              <w:rPr>
                <w:rFonts w:hint="eastAsia"/>
              </w:rPr>
              <w:t>月</w:t>
            </w:r>
            <w:r>
              <w:rPr>
                <w:rFonts w:hint="eastAsia"/>
                <w:lang w:val="en-US" w:eastAsia="zh-CN"/>
              </w:rPr>
              <w:t>5</w:t>
            </w:r>
            <w:r>
              <w:rPr>
                <w:rFonts w:hint="eastAsia"/>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93"/>
        <w:gridCol w:w="107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393" w:type="dxa"/>
            <w:shd w:val="clear" w:color="auto" w:fill="F3F3F3"/>
            <w:tcMar>
              <w:left w:w="57" w:type="dxa"/>
              <w:right w:w="57" w:type="dxa"/>
            </w:tcMar>
          </w:tcPr>
          <w:p>
            <w:r>
              <w:rPr>
                <w:rFonts w:hint="eastAsia"/>
              </w:rPr>
              <w:t>审核范围（产品和过程）</w:t>
            </w:r>
          </w:p>
          <w:p/>
          <w:p/>
        </w:tc>
        <w:tc>
          <w:tcPr>
            <w:tcW w:w="107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ascii="Times New Roman" w:hAnsi="Times New Roman" w:eastAsia="宋体" w:cs="Times New Roman"/>
                <w:lang w:val="de-DE" w:eastAsia="ja-JP"/>
              </w:rPr>
            </w:pPr>
            <w:bookmarkStart w:id="27" w:name="生产地址"/>
            <w:r>
              <w:rPr>
                <w:rFonts w:hint="eastAsia" w:ascii="宋体" w:hAnsi="宋体" w:cs="宋体"/>
                <w:color w:val="000000"/>
                <w:kern w:val="0"/>
                <w:szCs w:val="21"/>
              </w:rPr>
              <w:t>重庆凯琦玛科技有限公司</w:t>
            </w:r>
            <w:r>
              <w:rPr>
                <w:rFonts w:hint="eastAsia" w:ascii="Times New Roman" w:hAnsi="Times New Roman" w:eastAsia="宋体" w:cs="Times New Roman"/>
                <w:lang w:val="en-US" w:eastAsia="zh-CN"/>
              </w:rPr>
              <w:t>/</w:t>
            </w:r>
            <w:bookmarkEnd w:id="27"/>
            <w:r>
              <w:rPr>
                <w:rFonts w:hint="eastAsia" w:ascii="宋体" w:hAnsi="宋体" w:cs="宋体"/>
                <w:color w:val="000000"/>
                <w:kern w:val="0"/>
                <w:szCs w:val="21"/>
              </w:rPr>
              <w:t>重庆市九龙坡区西彭镇西竹路2栋33号</w:t>
            </w:r>
          </w:p>
        </w:tc>
        <w:tc>
          <w:tcPr>
            <w:tcW w:w="2267" w:type="dxa"/>
          </w:tcPr>
          <w:p>
            <w:pPr>
              <w:rPr>
                <w:rFonts w:hint="eastAsia" w:ascii="Times New Roman" w:hAnsi="Times New Roman" w:eastAsia="宋体" w:cs="Times New Roman"/>
                <w:lang w:val="de-DE" w:eastAsia="ja-JP"/>
              </w:rPr>
            </w:pPr>
            <w:r>
              <w:rPr>
                <w:rFonts w:ascii="宋体" w:hAnsi="宋体" w:cs="宋体"/>
                <w:color w:val="000000"/>
                <w:kern w:val="0"/>
                <w:szCs w:val="21"/>
              </w:rPr>
              <w:t>重庆市九龙坡区西彭镇铝城大道74号附1号岭欧环保</w:t>
            </w:r>
          </w:p>
        </w:tc>
        <w:tc>
          <w:tcPr>
            <w:tcW w:w="571" w:type="dxa"/>
            <w:vAlign w:val="center"/>
          </w:tcPr>
          <w:p>
            <w:pPr>
              <w:rPr>
                <w:rFonts w:hint="default" w:ascii="Times New Roman" w:hAnsi="Times New Roman" w:eastAsia="宋体" w:cs="Times New Roman"/>
                <w:lang w:val="en-US" w:eastAsia="zh-CN"/>
              </w:rPr>
            </w:pPr>
            <w:r>
              <w:rPr>
                <w:rFonts w:ascii="华文宋体" w:hAnsi="华文宋体" w:eastAsia="华文宋体"/>
                <w:szCs w:val="21"/>
              </w:rPr>
              <w:t>2</w:t>
            </w:r>
            <w:r>
              <w:rPr>
                <w:rFonts w:hint="eastAsia" w:ascii="华文宋体" w:hAnsi="华文宋体" w:eastAsia="华文宋体"/>
                <w:szCs w:val="21"/>
                <w:lang w:val="en-US" w:eastAsia="zh-CN"/>
              </w:rPr>
              <w:t>5</w:t>
            </w:r>
            <w:r>
              <w:rPr>
                <w:rFonts w:ascii="华文宋体" w:hAnsi="华文宋体" w:eastAsia="华文宋体"/>
                <w:szCs w:val="21"/>
              </w:rPr>
              <w:t xml:space="preserve"> </w:t>
            </w:r>
          </w:p>
        </w:tc>
        <w:tc>
          <w:tcPr>
            <w:tcW w:w="2393" w:type="dxa"/>
            <w:vAlign w:val="center"/>
          </w:tcPr>
          <w:p>
            <w:pPr>
              <w:rPr>
                <w:rFonts w:hint="eastAsia" w:ascii="Times New Roman" w:hAnsi="Times New Roman" w:eastAsia="宋体" w:cs="Times New Roman"/>
                <w:lang w:eastAsia="ja-JP"/>
              </w:rPr>
            </w:pPr>
            <w:r>
              <w:rPr>
                <w:rFonts w:ascii="宋体" w:hAnsi="宋体" w:cs="宋体"/>
                <w:color w:val="000000"/>
                <w:kern w:val="0"/>
                <w:szCs w:val="21"/>
              </w:rPr>
              <w:t>摩托车机油滤清器、通用机械发动机气缸头的生产</w:t>
            </w:r>
          </w:p>
        </w:tc>
        <w:tc>
          <w:tcPr>
            <w:tcW w:w="1079" w:type="dxa"/>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GB/T19001-2016</w:t>
            </w:r>
          </w:p>
        </w:tc>
        <w:tc>
          <w:tcPr>
            <w:tcW w:w="668" w:type="dxa"/>
            <w:shd w:val="clear" w:color="auto" w:fill="FFFFFF"/>
          </w:tcPr>
          <w:p>
            <w:pPr>
              <w:rPr>
                <w:rFonts w:hint="eastAsia" w:eastAsia="宋体"/>
                <w:lang w:eastAsia="zh-CN"/>
              </w:rPr>
            </w:pPr>
            <w:r>
              <w:rPr>
                <w:rFonts w:hint="eastAsia"/>
                <w:lang w:eastAsia="zh-CN"/>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组长</w:t>
            </w:r>
          </w:p>
        </w:tc>
        <w:tc>
          <w:tcPr>
            <w:tcW w:w="711" w:type="dxa"/>
            <w:vAlign w:val="center"/>
          </w:tcPr>
          <w:p>
            <w:r>
              <w:t>女</w:t>
            </w:r>
          </w:p>
        </w:tc>
        <w:tc>
          <w:tcPr>
            <w:tcW w:w="3870" w:type="dxa"/>
            <w:vAlign w:val="center"/>
          </w:tcPr>
          <w:p>
            <w:r>
              <w:t>2021-N1QMS-3207381</w:t>
            </w:r>
          </w:p>
        </w:tc>
        <w:tc>
          <w:tcPr>
            <w:tcW w:w="2179" w:type="dxa"/>
            <w:vAlign w:val="center"/>
          </w:tcPr>
          <w:p>
            <w:pPr>
              <w:widowControl/>
              <w:jc w:val="both"/>
              <w:rPr>
                <w:rFonts w:ascii="宋体" w:hAnsi="宋体" w:cs="宋体"/>
                <w:color w:val="000000"/>
                <w:kern w:val="0"/>
                <w:szCs w:val="21"/>
              </w:rPr>
            </w:pPr>
            <w:r>
              <w:rPr>
                <w:rFonts w:ascii="宋体" w:hAnsi="宋体" w:cs="宋体"/>
                <w:color w:val="000000"/>
                <w:kern w:val="0"/>
                <w:szCs w:val="21"/>
              </w:rPr>
              <w:t>18.01.01,</w:t>
            </w:r>
          </w:p>
          <w:p>
            <w:r>
              <w:rPr>
                <w:rFonts w:ascii="宋体" w:hAnsi="宋体" w:cs="宋体"/>
                <w:color w:val="000000"/>
                <w:kern w:val="0"/>
                <w:szCs w:val="21"/>
              </w:rPr>
              <w:t>22.05.01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eastAsia" w:eastAsia="宋体"/>
                <w:lang w:eastAsia="zh-CN"/>
              </w:rPr>
            </w:pPr>
            <w:r>
              <w:rPr>
                <w:rFonts w:hint="eastAsia"/>
                <w:lang w:eastAsia="zh-CN"/>
              </w:rPr>
              <w:t>文平</w:t>
            </w:r>
          </w:p>
        </w:tc>
        <w:tc>
          <w:tcPr>
            <w:tcW w:w="1089" w:type="dxa"/>
            <w:vAlign w:val="center"/>
          </w:tcPr>
          <w:p>
            <w:r>
              <w:t>组员</w:t>
            </w:r>
          </w:p>
        </w:tc>
        <w:tc>
          <w:tcPr>
            <w:tcW w:w="711" w:type="dxa"/>
            <w:vAlign w:val="center"/>
          </w:tcPr>
          <w:p>
            <w:r>
              <w:t>男</w:t>
            </w:r>
          </w:p>
        </w:tc>
        <w:tc>
          <w:tcPr>
            <w:tcW w:w="3870" w:type="dxa"/>
            <w:vAlign w:val="center"/>
          </w:tcPr>
          <w:p>
            <w:r>
              <w:rPr>
                <w:rFonts w:ascii="宋体" w:hAnsi="宋体" w:cs="宋体"/>
                <w:color w:val="000000"/>
                <w:kern w:val="0"/>
                <w:szCs w:val="21"/>
              </w:rPr>
              <w:t>2019-N1QMS-3093566</w:t>
            </w:r>
          </w:p>
        </w:tc>
        <w:tc>
          <w:tcPr>
            <w:tcW w:w="2179" w:type="dxa"/>
            <w:vAlign w:val="center"/>
          </w:tcPr>
          <w:p>
            <w:pPr>
              <w:widowControl/>
              <w:jc w:val="both"/>
              <w:rPr>
                <w:rFonts w:ascii="宋体" w:hAnsi="宋体" w:cs="宋体"/>
                <w:color w:val="000000"/>
                <w:kern w:val="0"/>
                <w:szCs w:val="21"/>
              </w:rPr>
            </w:pPr>
            <w:r>
              <w:rPr>
                <w:rFonts w:ascii="宋体" w:hAnsi="宋体" w:cs="宋体"/>
                <w:color w:val="000000"/>
                <w:kern w:val="0"/>
                <w:szCs w:val="21"/>
              </w:rPr>
              <w:t>18.01.01,</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w:t>
      </w:r>
      <w:r>
        <w:rPr>
          <w:rFonts w:hint="eastAsia"/>
          <w:lang w:eastAsia="zh-CN"/>
        </w:rPr>
        <w:t>不</w:t>
      </w:r>
      <w:r>
        <w:rPr>
          <w:rFonts w:hint="eastAsia"/>
        </w:rPr>
        <w:t xml:space="preserve">适用）  </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QMS □EcMS □EMS □OHSMS）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834"/>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834"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olor w:val="000000" w:themeColor="text1"/>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s="Times New Roman"/>
                <w:color w:val="000000" w:themeColor="text1"/>
                <w:kern w:val="2"/>
                <w:sz w:val="21"/>
                <w:szCs w:val="24"/>
                <w:lang w:val="en-US" w:eastAsia="zh-CN" w:bidi="ar-SA"/>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34"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34"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34"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GB" w:eastAsia="zh-CN"/>
              </w:rPr>
            </w:pPr>
            <w:r>
              <w:rPr>
                <w:rFonts w:hint="eastAsia"/>
                <w:lang w:val="en-GB" w:eastAsia="zh-CN"/>
              </w:rPr>
              <w:t>不适用</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体系名称缩写</w:t>
            </w:r>
          </w:p>
        </w:tc>
        <w:tc>
          <w:tcPr>
            <w:tcW w:w="1698" w:type="dxa"/>
          </w:tcPr>
          <w:p>
            <w:pPr>
              <w:rPr>
                <w:color w:val="000000" w:themeColor="text1"/>
              </w:rPr>
            </w:pPr>
            <w:r>
              <w:rPr>
                <w:rFonts w:hint="eastAsia"/>
                <w:color w:val="000000" w:themeColor="text1"/>
              </w:rPr>
              <w:t>一般不符合数量</w:t>
            </w:r>
          </w:p>
        </w:tc>
        <w:tc>
          <w:tcPr>
            <w:tcW w:w="1717" w:type="dxa"/>
          </w:tcPr>
          <w:p>
            <w:pPr>
              <w:rPr>
                <w:color w:val="000000" w:themeColor="text1"/>
              </w:rPr>
            </w:pPr>
            <w:r>
              <w:rPr>
                <w:rFonts w:hint="eastAsia"/>
                <w:color w:val="000000" w:themeColor="text1"/>
              </w:rPr>
              <w:t>严重不符合数量</w:t>
            </w:r>
          </w:p>
        </w:tc>
        <w:tc>
          <w:tcPr>
            <w:tcW w:w="1560" w:type="dxa"/>
          </w:tcPr>
          <w:p>
            <w:pPr>
              <w:rPr>
                <w:color w:val="000000" w:themeColor="text1"/>
              </w:rPr>
            </w:pPr>
            <w:r>
              <w:rPr>
                <w:rFonts w:hint="eastAsia"/>
                <w:color w:val="000000" w:themeColor="text1"/>
              </w:rPr>
              <w:t>不符合项总数</w:t>
            </w:r>
          </w:p>
        </w:tc>
        <w:tc>
          <w:tcPr>
            <w:tcW w:w="296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QMS</w:t>
            </w:r>
          </w:p>
        </w:tc>
        <w:tc>
          <w:tcPr>
            <w:tcW w:w="1698" w:type="dxa"/>
            <w:vAlign w:val="top"/>
          </w:tcPr>
          <w:p>
            <w:pPr>
              <w:rPr>
                <w:color w:val="000000" w:themeColor="text1"/>
              </w:rPr>
            </w:pPr>
            <w:r>
              <w:rPr>
                <w:rFonts w:hint="eastAsia"/>
                <w:color w:val="000000" w:themeColor="text1"/>
                <w:highlight w:val="none"/>
              </w:rPr>
              <w:t>1</w:t>
            </w:r>
          </w:p>
        </w:tc>
        <w:tc>
          <w:tcPr>
            <w:tcW w:w="1717" w:type="dxa"/>
            <w:vAlign w:val="top"/>
          </w:tcPr>
          <w:p>
            <w:pPr>
              <w:rPr>
                <w:color w:val="000000" w:themeColor="text1"/>
              </w:rPr>
            </w:pPr>
            <w:r>
              <w:rPr>
                <w:rFonts w:hint="eastAsia"/>
                <w:color w:val="000000" w:themeColor="text1"/>
                <w:highlight w:val="none"/>
              </w:rPr>
              <w:t>0</w:t>
            </w:r>
          </w:p>
        </w:tc>
        <w:tc>
          <w:tcPr>
            <w:tcW w:w="1560" w:type="dxa"/>
            <w:vAlign w:val="top"/>
          </w:tcPr>
          <w:p>
            <w:pPr>
              <w:rPr>
                <w:color w:val="000000" w:themeColor="text1"/>
              </w:rPr>
            </w:pPr>
            <w:r>
              <w:rPr>
                <w:rFonts w:hint="eastAsia"/>
                <w:color w:val="000000" w:themeColor="text1"/>
                <w:highlight w:val="none"/>
              </w:rPr>
              <w:t>1</w:t>
            </w:r>
          </w:p>
        </w:tc>
        <w:tc>
          <w:tcPr>
            <w:tcW w:w="2965" w:type="dxa"/>
            <w:vAlign w:val="top"/>
          </w:tcPr>
          <w:p>
            <w:pPr>
              <w:rPr>
                <w:color w:val="000000" w:themeColor="text1"/>
              </w:rPr>
            </w:pPr>
            <w:r>
              <w:rPr>
                <w:rFonts w:hint="eastAsia"/>
                <w:color w:val="000000" w:themeColor="text1"/>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50430</w:t>
            </w:r>
          </w:p>
        </w:tc>
        <w:tc>
          <w:tcPr>
            <w:tcW w:w="1698" w:type="dxa"/>
          </w:tcPr>
          <w:p>
            <w:pPr>
              <w:rPr>
                <w:color w:val="000000" w:themeColor="text1"/>
              </w:rPr>
            </w:pPr>
          </w:p>
        </w:tc>
        <w:tc>
          <w:tcPr>
            <w:tcW w:w="1717" w:type="dxa"/>
          </w:tcPr>
          <w:p>
            <w:pPr>
              <w:rPr>
                <w:color w:val="000000" w:themeColor="text1"/>
              </w:rPr>
            </w:pPr>
          </w:p>
        </w:tc>
        <w:tc>
          <w:tcPr>
            <w:tcW w:w="1560" w:type="dxa"/>
          </w:tcPr>
          <w:p>
            <w:pPr>
              <w:rPr>
                <w:color w:val="000000" w:themeColor="text1"/>
              </w:rPr>
            </w:pPr>
          </w:p>
        </w:tc>
        <w:tc>
          <w:tcPr>
            <w:tcW w:w="2965" w:type="dxa"/>
          </w:tcPr>
          <w:p>
            <w:pPr>
              <w:rPr>
                <w:color w:val="000000" w:themeColor="text1"/>
              </w:rPr>
            </w:pPr>
            <w:r>
              <w:rPr>
                <w:rFonts w:hint="eastAsia"/>
                <w:color w:val="000000" w:themeColor="text1"/>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EMS</w:t>
            </w:r>
          </w:p>
        </w:tc>
        <w:tc>
          <w:tcPr>
            <w:tcW w:w="1698" w:type="dxa"/>
          </w:tcPr>
          <w:p>
            <w:pPr>
              <w:rPr>
                <w:color w:val="000000" w:themeColor="text1"/>
              </w:rPr>
            </w:pPr>
          </w:p>
        </w:tc>
        <w:tc>
          <w:tcPr>
            <w:tcW w:w="1717" w:type="dxa"/>
          </w:tcPr>
          <w:p>
            <w:pPr>
              <w:rPr>
                <w:color w:val="000000" w:themeColor="text1"/>
              </w:rPr>
            </w:pPr>
          </w:p>
        </w:tc>
        <w:tc>
          <w:tcPr>
            <w:tcW w:w="1560" w:type="dxa"/>
          </w:tcPr>
          <w:p>
            <w:pPr>
              <w:rPr>
                <w:color w:val="000000" w:themeColor="text1"/>
              </w:rPr>
            </w:pPr>
          </w:p>
        </w:tc>
        <w:tc>
          <w:tcPr>
            <w:tcW w:w="2965" w:type="dxa"/>
          </w:tcPr>
          <w:p>
            <w:pPr>
              <w:rPr>
                <w:color w:val="000000" w:themeColor="text1"/>
              </w:rPr>
            </w:pPr>
            <w:r>
              <w:rPr>
                <w:rFonts w:hint="eastAsia"/>
                <w:color w:val="000000" w:themeColor="text1"/>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OHSMS</w:t>
            </w:r>
          </w:p>
        </w:tc>
        <w:tc>
          <w:tcPr>
            <w:tcW w:w="1698" w:type="dxa"/>
          </w:tcPr>
          <w:p>
            <w:pPr>
              <w:rPr>
                <w:color w:val="000000" w:themeColor="text1"/>
              </w:rPr>
            </w:pPr>
          </w:p>
        </w:tc>
        <w:tc>
          <w:tcPr>
            <w:tcW w:w="1717" w:type="dxa"/>
          </w:tcPr>
          <w:p>
            <w:pPr>
              <w:rPr>
                <w:color w:val="000000" w:themeColor="text1"/>
              </w:rPr>
            </w:pPr>
          </w:p>
        </w:tc>
        <w:tc>
          <w:tcPr>
            <w:tcW w:w="1560" w:type="dxa"/>
          </w:tcPr>
          <w:p>
            <w:pPr>
              <w:rPr>
                <w:color w:val="000000" w:themeColor="text1"/>
              </w:rPr>
            </w:pPr>
          </w:p>
        </w:tc>
        <w:tc>
          <w:tcPr>
            <w:tcW w:w="2965" w:type="dxa"/>
          </w:tcPr>
          <w:p>
            <w:pPr>
              <w:rPr>
                <w:color w:val="000000" w:themeColor="text1"/>
              </w:rPr>
            </w:pPr>
            <w:r>
              <w:rPr>
                <w:rFonts w:hint="eastAsia"/>
                <w:color w:val="000000" w:themeColor="text1"/>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ascii="宋体" w:hAnsi="宋体" w:cs="宋体"/>
                <w:color w:val="000000"/>
                <w:kern w:val="0"/>
                <w:szCs w:val="21"/>
              </w:rPr>
              <w:t>摩托车机油滤清器、通用机械发动机气缸头的生产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vAlign w:val="top"/>
          </w:tcPr>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exact"/>
          <w:jc w:val="center"/>
        </w:trPr>
        <w:tc>
          <w:tcPr>
            <w:tcW w:w="1842" w:type="dxa"/>
          </w:tcPr>
          <w:p>
            <w:r>
              <w:rPr>
                <w:rFonts w:hint="eastAsia"/>
              </w:rPr>
              <w:t>审核组长签字</w:t>
            </w:r>
          </w:p>
        </w:tc>
        <w:tc>
          <w:tcPr>
            <w:tcW w:w="2764" w:type="dxa"/>
            <w:tcMar>
              <w:left w:w="113" w:type="dxa"/>
            </w:tcMar>
          </w:tcPr>
          <w:p>
            <w:r>
              <w:rPr>
                <w:rFonts w:hint="eastAsia"/>
                <w:b/>
                <w:sz w:val="22"/>
                <w:szCs w:val="22"/>
              </w:rPr>
              <w:drawing>
                <wp:anchor distT="0" distB="0" distL="114300" distR="114300" simplePos="0" relativeHeight="251661312" behindDoc="0" locked="0" layoutInCell="1" allowOverlap="1">
                  <wp:simplePos x="0" y="0"/>
                  <wp:positionH relativeFrom="column">
                    <wp:posOffset>329565</wp:posOffset>
                  </wp:positionH>
                  <wp:positionV relativeFrom="paragraph">
                    <wp:posOffset>73660</wp:posOffset>
                  </wp:positionV>
                  <wp:extent cx="511175" cy="386715"/>
                  <wp:effectExtent l="0" t="0" r="9525" b="6985"/>
                  <wp:wrapNone/>
                  <wp:docPr id="1"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签名.jpg"/>
                          <pic:cNvPicPr>
                            <a:picLocks noChangeAspect="1"/>
                          </pic:cNvPicPr>
                        </pic:nvPicPr>
                        <pic:blipFill>
                          <a:blip r:embed="rId6"/>
                          <a:stretch>
                            <a:fillRect/>
                          </a:stretch>
                        </pic:blipFill>
                        <pic:spPr>
                          <a:xfrm>
                            <a:off x="0" y="0"/>
                            <a:ext cx="511175" cy="386715"/>
                          </a:xfrm>
                          <a:prstGeom prst="rect">
                            <a:avLst/>
                          </a:prstGeom>
                          <a:noFill/>
                          <a:ln>
                            <a:noFill/>
                          </a:ln>
                        </pic:spPr>
                      </pic:pic>
                    </a:graphicData>
                  </a:graphic>
                </wp:anchor>
              </w:drawing>
            </w:r>
          </w:p>
          <w:p/>
        </w:tc>
        <w:tc>
          <w:tcPr>
            <w:tcW w:w="2764" w:type="dxa"/>
            <w:tcMar>
              <w:left w:w="113" w:type="dxa"/>
            </w:tcMar>
          </w:tcPr>
          <w:p>
            <w:pPr>
              <w:rPr>
                <w:rFonts w:hint="eastAsia" w:ascii="Times New Roman" w:hAnsi="Times New Roman" w:eastAsia="宋体" w:cs="Times New Roman"/>
              </w:rPr>
            </w:pPr>
            <w:r>
              <w:rPr>
                <w:rFonts w:hint="eastAsia" w:ascii="Times New Roman" w:hAnsi="Times New Roman" w:eastAsia="宋体" w:cs="Times New Roman"/>
              </w:rPr>
              <w:t>日期</w:t>
            </w:r>
          </w:p>
        </w:tc>
        <w:tc>
          <w:tcPr>
            <w:tcW w:w="2766" w:type="dxa"/>
            <w:tcMar>
              <w:left w:w="113" w:type="dxa"/>
            </w:tcMar>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2021年</w:t>
            </w:r>
            <w:r>
              <w:rPr>
                <w:rFonts w:hint="eastAsia" w:cs="Times New Roman"/>
                <w:lang w:val="en-US" w:eastAsia="zh-CN"/>
              </w:rPr>
              <w:t>10</w:t>
            </w:r>
            <w:r>
              <w:rPr>
                <w:rFonts w:hint="eastAsia" w:ascii="Times New Roman" w:hAnsi="Times New Roman" w:eastAsia="宋体" w:cs="Times New Roman"/>
                <w:lang w:val="en-US" w:eastAsia="zh-CN"/>
              </w:rPr>
              <w:t>月</w:t>
            </w:r>
            <w:r>
              <w:rPr>
                <w:rFonts w:hint="eastAsia" w:cs="Times New Roman"/>
                <w:lang w:val="en-US" w:eastAsia="zh-CN"/>
              </w:rPr>
              <w:t>11</w:t>
            </w:r>
            <w:r>
              <w:rPr>
                <w:rFonts w:hint="eastAsia" w:ascii="Times New Roman" w:hAnsi="Times New Roman" w:eastAsia="宋体" w:cs="Times New Roman"/>
                <w:lang w:val="en-US" w:eastAsia="zh-CN"/>
              </w:rPr>
              <w:t>日</w:t>
            </w:r>
          </w:p>
        </w:tc>
      </w:tr>
    </w:tbl>
    <w:p/>
    <w:p/>
    <w:p>
      <w:r>
        <w:rPr>
          <w:rFonts w:hint="eastAsia"/>
        </w:rPr>
        <w:t>十四、审核报告的发放范围：</w:t>
      </w:r>
    </w:p>
    <w:p>
      <w:r>
        <w:rPr>
          <w:rFonts w:hint="eastAsia"/>
        </w:rPr>
        <w:t>受审核方(含附件)：</w:t>
      </w:r>
      <w:r>
        <w:rPr>
          <w:rFonts w:hint="eastAsia" w:ascii="宋体" w:hAnsi="宋体" w:cs="宋体"/>
          <w:color w:val="000000"/>
          <w:kern w:val="0"/>
          <w:szCs w:val="21"/>
        </w:rPr>
        <w:t>重庆凯琦玛科技有限公司</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 xml:space="preserve">附件ISO 9001:2015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199"/>
        <w:gridCol w:w="8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rPr>
                <w:highlight w:val="none"/>
              </w:rPr>
            </w:pPr>
            <w:r>
              <w:rPr>
                <w:rFonts w:hint="eastAsia"/>
              </w:rPr>
              <w:t>■市场拓展 □设备</w:t>
            </w:r>
            <w:r>
              <w:rPr>
                <w:rFonts w:hint="eastAsia"/>
                <w:highlight w:val="none"/>
              </w:rPr>
              <w:t xml:space="preserve">能力■人员能力 □检测水平■合同评审 □知识保密 </w:t>
            </w:r>
          </w:p>
          <w:p>
            <w:pPr>
              <w:shd w:val="clear" w:color="auto" w:fill="C7DAF1" w:themeFill="text2" w:themeFillTint="32"/>
              <w:spacing w:before="40" w:after="40"/>
              <w:rPr>
                <w:highlight w:val="none"/>
              </w:rPr>
            </w:pPr>
            <w:r>
              <w:rPr>
                <w:rFonts w:hint="eastAsia"/>
                <w:highlight w:val="none"/>
              </w:rPr>
              <w:t>□新产品设计开发■原材料采购■外部供方控制 □生产/服务控制 □其他</w:t>
            </w:r>
          </w:p>
          <w:p>
            <w:pPr>
              <w:shd w:val="clear" w:color="auto" w:fill="C7DAF1" w:themeFill="text2" w:themeFillTint="32"/>
              <w:spacing w:before="40" w:after="40"/>
              <w:rPr>
                <w:rFonts w:hint="eastAsia" w:eastAsia="宋体"/>
                <w:b/>
                <w:bCs/>
                <w:highlight w:val="none"/>
                <w:lang w:val="en-US" w:eastAsia="zh-CN"/>
              </w:rPr>
            </w:pPr>
            <w:r>
              <w:rPr>
                <w:rFonts w:hint="eastAsia"/>
                <w:b w:val="0"/>
                <w:bCs w:val="0"/>
                <w:color w:val="000000" w:themeColor="text1"/>
                <w:highlight w:val="none"/>
              </w:rPr>
              <w:t>影响体系运行的外包</w:t>
            </w:r>
            <w:r>
              <w:rPr>
                <w:rFonts w:hint="eastAsia"/>
                <w:b w:val="0"/>
                <w:bCs w:val="0"/>
                <w:color w:val="000000" w:themeColor="text1"/>
                <w:highlight w:val="none"/>
                <w:lang w:val="en-GB"/>
              </w:rPr>
              <w:t>过程如下</w:t>
            </w:r>
            <w:r>
              <w:rPr>
                <w:rFonts w:hint="eastAsia"/>
                <w:b w:val="0"/>
                <w:bCs w:val="0"/>
                <w:color w:val="000000" w:themeColor="text1"/>
                <w:highlight w:val="none"/>
              </w:rPr>
              <w:t>:</w:t>
            </w:r>
            <w:r>
              <w:rPr>
                <w:rFonts w:hint="eastAsia"/>
                <w:b w:val="0"/>
                <w:bCs w:val="0"/>
                <w:color w:val="000000" w:themeColor="text1"/>
                <w:highlight w:val="none"/>
                <w:lang w:val="en-GB"/>
              </w:rPr>
              <w:t xml:space="preserve"> </w:t>
            </w:r>
            <w:r>
              <w:rPr>
                <w:rFonts w:hint="eastAsia"/>
                <w:b w:val="0"/>
                <w:bCs w:val="0"/>
                <w:color w:val="000000" w:themeColor="text1"/>
                <w:highlight w:val="none"/>
                <w:lang w:val="en-US" w:eastAsia="zh-CN"/>
              </w:rPr>
              <w:t>无</w:t>
            </w:r>
            <w:r>
              <w:rPr>
                <w:rFonts w:hint="eastAsia"/>
                <w:b/>
                <w:bCs/>
                <w:color w:val="000000" w:themeColor="text1"/>
                <w:highlight w:val="none"/>
                <w:lang w:val="en-GB"/>
              </w:rPr>
              <w:t>（</w:t>
            </w:r>
            <w:r>
              <w:rPr>
                <w:rFonts w:hint="eastAsia"/>
                <w:b/>
                <w:bCs/>
                <w:color w:val="000000" w:themeColor="text1"/>
                <w:highlight w:val="none"/>
              </w:rPr>
              <w:t>根据实际</w:t>
            </w:r>
            <w:r>
              <w:rPr>
                <w:rFonts w:hint="eastAsia"/>
                <w:b/>
                <w:bCs/>
                <w:highlight w:val="none"/>
              </w:rPr>
              <w:t>情况选择</w:t>
            </w:r>
            <w:r>
              <w:rPr>
                <w:rFonts w:hint="eastAsia"/>
                <w:b/>
                <w:bCs/>
                <w:highlight w:val="none"/>
                <w:lang w:val="en-GB"/>
              </w:rPr>
              <w:t>）</w:t>
            </w:r>
          </w:p>
          <w:p>
            <w:pPr>
              <w:shd w:val="clear" w:color="auto" w:fill="C7DAF1" w:themeFill="text2" w:themeFillTint="32"/>
              <w:spacing w:before="40" w:after="40"/>
              <w:rPr>
                <w:highlight w:val="none"/>
              </w:rPr>
            </w:pPr>
            <w:r>
              <w:rPr>
                <w:rFonts w:hint="eastAsia"/>
                <w:highlight w:val="none"/>
              </w:rPr>
              <w:t>□新产品设计开发 □原材料订制 □生产/服务过程 □检验检测 □产品运输 □设备维修</w:t>
            </w:r>
          </w:p>
          <w:p>
            <w:pPr>
              <w:shd w:val="clear" w:color="auto" w:fill="C7DAF1" w:themeFill="text2" w:themeFillTint="32"/>
              <w:spacing w:before="40" w:after="40"/>
              <w:rPr>
                <w:highlight w:val="none"/>
              </w:rPr>
            </w:pPr>
            <w:r>
              <w:rPr>
                <w:rFonts w:hint="eastAsia"/>
                <w:highlight w:val="none"/>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500" w:lineRule="exact"/>
              <w:jc w:val="both"/>
              <w:rPr>
                <w:rFonts w:hint="eastAsia" w:ascii="Times New Roman" w:hAnsi="Times New Roman" w:eastAsia="宋体" w:cs="Times New Roman"/>
                <w:b w:val="0"/>
                <w:bCs w:val="0"/>
                <w:color w:val="000000"/>
                <w:kern w:val="2"/>
                <w:sz w:val="21"/>
                <w:szCs w:val="20"/>
                <w:lang w:val="en-US" w:eastAsia="zh-CN" w:bidi="ar-SA"/>
              </w:rPr>
            </w:pPr>
            <w:r>
              <w:rPr>
                <w:rFonts w:hint="eastAsia" w:ascii="Times New Roman" w:hAnsi="Times New Roman" w:eastAsia="宋体" w:cs="Times New Roman"/>
                <w:b w:val="0"/>
                <w:bCs w:val="0"/>
                <w:kern w:val="2"/>
                <w:sz w:val="21"/>
                <w:szCs w:val="24"/>
                <w:lang w:val="en-US" w:eastAsia="zh-CN" w:bidi="ar-SA"/>
              </w:rPr>
              <w:t xml:space="preserve">最高管理者制定了文件化的管理体系方针：  </w:t>
            </w:r>
            <w:r>
              <w:rPr>
                <w:rFonts w:hint="eastAsia" w:ascii="Times New Roman" w:hAnsi="Times New Roman" w:eastAsia="宋体" w:cs="Times New Roman"/>
                <w:b w:val="0"/>
                <w:bCs w:val="0"/>
                <w:color w:val="000000"/>
                <w:kern w:val="2"/>
                <w:sz w:val="21"/>
                <w:szCs w:val="20"/>
                <w:lang w:val="en-US" w:eastAsia="zh-CN" w:bidi="ar-SA"/>
              </w:rPr>
              <w:t xml:space="preserve"> 加强管理，提升技术</w:t>
            </w:r>
          </w:p>
          <w:p>
            <w:pPr>
              <w:spacing w:line="500" w:lineRule="exact"/>
              <w:jc w:val="center"/>
              <w:rPr>
                <w:rFonts w:hint="eastAsia" w:ascii="Times New Roman" w:hAnsi="Times New Roman" w:eastAsia="宋体" w:cs="Times New Roman"/>
                <w:b w:val="0"/>
                <w:bCs w:val="0"/>
                <w:color w:val="000000"/>
                <w:kern w:val="2"/>
                <w:sz w:val="21"/>
                <w:szCs w:val="20"/>
                <w:lang w:val="en-US" w:eastAsia="zh-CN" w:bidi="ar-SA"/>
              </w:rPr>
            </w:pPr>
            <w:r>
              <w:rPr>
                <w:rFonts w:hint="eastAsia" w:eastAsia="宋体" w:cs="Times New Roman"/>
                <w:b w:val="0"/>
                <w:bCs w:val="0"/>
                <w:color w:val="000000"/>
                <w:kern w:val="2"/>
                <w:sz w:val="21"/>
                <w:szCs w:val="20"/>
                <w:lang w:val="en-US" w:eastAsia="zh-CN" w:bidi="ar-SA"/>
              </w:rPr>
              <w:t xml:space="preserve">                  </w:t>
            </w:r>
            <w:r>
              <w:rPr>
                <w:rFonts w:hint="eastAsia" w:ascii="Times New Roman" w:hAnsi="Times New Roman" w:eastAsia="宋体" w:cs="Times New Roman"/>
                <w:b w:val="0"/>
                <w:bCs w:val="0"/>
                <w:color w:val="000000"/>
                <w:kern w:val="2"/>
                <w:sz w:val="21"/>
                <w:szCs w:val="20"/>
                <w:lang w:val="en-US" w:eastAsia="zh-CN" w:bidi="ar-SA"/>
              </w:rPr>
              <w:t>预防缺陷, 降低成本</w:t>
            </w:r>
          </w:p>
          <w:p>
            <w:pPr>
              <w:spacing w:line="500" w:lineRule="exact"/>
              <w:jc w:val="center"/>
              <w:rPr>
                <w:rFonts w:hint="eastAsia" w:ascii="Times New Roman" w:hAnsi="Times New Roman" w:eastAsia="宋体" w:cs="Times New Roman"/>
                <w:b w:val="0"/>
                <w:bCs w:val="0"/>
                <w:kern w:val="2"/>
                <w:sz w:val="21"/>
                <w:szCs w:val="24"/>
                <w:lang w:val="en-US" w:eastAsia="zh-CN" w:bidi="ar-SA"/>
              </w:rPr>
            </w:pPr>
            <w:r>
              <w:rPr>
                <w:rFonts w:hint="eastAsia" w:eastAsia="宋体" w:cs="Times New Roman"/>
                <w:b w:val="0"/>
                <w:bCs w:val="0"/>
                <w:color w:val="000000"/>
                <w:kern w:val="2"/>
                <w:sz w:val="21"/>
                <w:szCs w:val="20"/>
                <w:lang w:val="en-US" w:eastAsia="zh-CN" w:bidi="ar-SA"/>
              </w:rPr>
              <w:t xml:space="preserve">                  </w:t>
            </w:r>
            <w:r>
              <w:rPr>
                <w:rFonts w:hint="eastAsia" w:ascii="Times New Roman" w:hAnsi="Times New Roman" w:eastAsia="宋体" w:cs="Times New Roman"/>
                <w:b w:val="0"/>
                <w:bCs w:val="0"/>
                <w:color w:val="000000"/>
                <w:kern w:val="2"/>
                <w:sz w:val="21"/>
                <w:szCs w:val="20"/>
                <w:lang w:val="en-US" w:eastAsia="zh-CN" w:bidi="ar-SA"/>
              </w:rPr>
              <w:t>持续改进, 顾客满意</w:t>
            </w:r>
          </w:p>
          <w:p>
            <w:pPr>
              <w:shd w:val="clear" w:color="auto" w:fill="C7DAF1" w:themeFill="text2" w:themeFillTint="32"/>
              <w:ind w:firstLine="420" w:firstLineChars="200"/>
            </w:pPr>
            <w:r>
              <w:rPr>
                <w:rFonts w:hint="eastAsia" w:ascii="Times New Roman" w:hAnsi="Times New Roman" w:eastAsia="宋体" w:cs="Times New Roman"/>
                <w:b w:val="0"/>
                <w:bCs w:val="0"/>
                <w:kern w:val="2"/>
                <w:sz w:val="21"/>
                <w:szCs w:val="24"/>
                <w:lang w:val="en-GB" w:eastAsia="zh-CN" w:bidi="ar-SA"/>
              </w:rPr>
              <w:t>质量方针合理恰当并为相应的质量目标提供了框架。</w:t>
            </w:r>
            <w:r>
              <w:rPr>
                <w:rFonts w:hint="eastAsia" w:ascii="Times New Roman" w:hAnsi="Times New Roman" w:eastAsia="宋体" w:cs="Times New Roman"/>
                <w:b w:val="0"/>
                <w:bCs w:val="0"/>
                <w:kern w:val="2"/>
                <w:sz w:val="21"/>
                <w:szCs w:val="24"/>
                <w:lang w:val="en-US" w:eastAsia="zh-CN" w:bidi="ar-SA"/>
              </w:rPr>
              <w:t>最高</w:t>
            </w:r>
            <w:r>
              <w:rPr>
                <w:rFonts w:hint="eastAsia" w:ascii="Times New Roman" w:hAnsi="Times New Roman" w:eastAsia="宋体" w:cs="Times New Roman"/>
                <w:b w:val="0"/>
                <w:bCs w:val="0"/>
                <w:kern w:val="2"/>
                <w:sz w:val="21"/>
                <w:szCs w:val="24"/>
                <w:lang w:val="en-GB" w:eastAsia="zh-CN" w:bidi="ar-SA"/>
              </w:rPr>
              <w:t>管理层已经宣布了组织的质量方针并进行了实施，它使所有员工负起持续改进质量管理体系的责</w:t>
            </w:r>
            <w:r>
              <w:rPr>
                <w:rFonts w:hint="eastAsia"/>
                <w:lang w:val="en-GB"/>
              </w:rPr>
              <w:t>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ascii="宋体" w:hAnsi="宋体"/>
                <w:szCs w:val="21"/>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法律、法规内容的变化</w:t>
                  </w:r>
                </w:p>
              </w:tc>
              <w:tc>
                <w:tcPr>
                  <w:tcW w:w="3965" w:type="dxa"/>
                  <w:vAlign w:val="top"/>
                </w:tcPr>
                <w:p>
                  <w:pPr>
                    <w:spacing w:line="360" w:lineRule="auto"/>
                    <w:rPr>
                      <w:rFonts w:ascii="Times New Roman" w:hAnsi="Times New Roman" w:eastAsia="宋体" w:cs="Times New Roman"/>
                      <w:kern w:val="2"/>
                      <w:sz w:val="21"/>
                      <w:szCs w:val="24"/>
                      <w:lang w:val="en-US" w:eastAsia="zh-CN" w:bidi="ar-SA"/>
                    </w:rPr>
                  </w:pPr>
                  <w:r>
                    <w:rPr>
                      <w:rFonts w:hint="eastAsia" w:ascii="宋体" w:hAnsi="宋体" w:cs="宋体"/>
                      <w:sz w:val="21"/>
                      <w:szCs w:val="21"/>
                    </w:rPr>
                    <w:t>主要职能部门按照要求加强相关产品销售区域所在地法政策的收集评价。</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公司产品售后服务处理不好，顾客埋怨投诉较多，会严重影响公司产品的销售，会给公司发展带来较大的</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lang w:eastAsia="zh-CN"/>
                    </w:rPr>
                    <w:t>销售部</w:t>
                  </w:r>
                  <w:r>
                    <w:rPr>
                      <w:rFonts w:hint="eastAsia" w:ascii="宋体" w:hAnsi="宋体" w:cs="宋体"/>
                      <w:sz w:val="21"/>
                      <w:szCs w:val="21"/>
                    </w:rPr>
                    <w:t>和质量管理部要严格按照售后服务管理规定，做好客户服务工作，提高客户满意度</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人员能力不满足生产技术的发展</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加大人员岗位能力培训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原材料的质量及价格使公司的产品不具备竞争能力</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对供方进行评价评审后比选采购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2"/>
              <w:gridCol w:w="3915"/>
              <w:gridCol w:w="109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915"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095"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395" w:type="dxa"/>
                  <w:shd w:val="clear" w:color="auto" w:fill="auto"/>
                </w:tcPr>
                <w:p>
                  <w:pPr>
                    <w:shd w:val="clear" w:color="auto" w:fill="C7DAF1" w:themeFill="text2" w:themeFillTint="3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shd w:val="clear" w:color="auto" w:fill="auto"/>
                  <w:vAlign w:val="top"/>
                </w:tcPr>
                <w:p>
                  <w:pPr>
                    <w:widowControl/>
                    <w:spacing w:before="40"/>
                    <w:jc w:val="left"/>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Courier New" w:eastAsia="宋体" w:cs="Times New Roman"/>
                      <w:color w:val="000000"/>
                      <w:kern w:val="2"/>
                      <w:sz w:val="21"/>
                      <w:szCs w:val="18"/>
                      <w:lang w:val="en-US" w:eastAsia="zh-CN" w:bidi="ar-SA"/>
                    </w:rPr>
                    <w:t>产品交付合格率100%</w:t>
                  </w:r>
                </w:p>
              </w:tc>
              <w:tc>
                <w:tcPr>
                  <w:tcW w:w="3915" w:type="dxa"/>
                  <w:shd w:val="clear" w:color="auto" w:fill="auto"/>
                  <w:vAlign w:val="top"/>
                </w:tcPr>
                <w:p>
                  <w:pPr>
                    <w:widowControl/>
                    <w:spacing w:before="40"/>
                    <w:jc w:val="left"/>
                    <w:rPr>
                      <w:rFonts w:ascii="Times New Roman" w:hAnsi="Times New Roman" w:eastAsia="宋体" w:cs="Times New Roman"/>
                      <w:color w:val="000000" w:themeColor="text1"/>
                      <w:kern w:val="2"/>
                      <w:sz w:val="21"/>
                      <w:szCs w:val="24"/>
                      <w:highlight w:val="none"/>
                      <w:lang w:val="en-GB" w:eastAsia="zh-CN" w:bidi="ar-SA"/>
                    </w:rPr>
                  </w:pPr>
                  <w:r>
                    <w:rPr>
                      <w:rFonts w:hint="eastAsia" w:ascii="宋体" w:hAnsi="Courier New" w:eastAsia="宋体" w:cs="Times New Roman"/>
                      <w:color w:val="000000"/>
                      <w:kern w:val="2"/>
                      <w:sz w:val="21"/>
                      <w:szCs w:val="18"/>
                      <w:lang w:val="en-US" w:eastAsia="zh-CN" w:bidi="ar-SA"/>
                    </w:rPr>
                    <w:t>生产一次交验合格数÷生产总数×100%</w:t>
                  </w:r>
                </w:p>
              </w:tc>
              <w:tc>
                <w:tcPr>
                  <w:tcW w:w="1095" w:type="dxa"/>
                  <w:shd w:val="clear" w:color="auto" w:fill="auto"/>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GB" w:eastAsia="zh-CN" w:bidi="ar-SA"/>
                    </w:rPr>
                  </w:pPr>
                  <w:r>
                    <w:rPr>
                      <w:rFonts w:hint="eastAsia" w:ascii="宋体" w:hAnsi="宋体"/>
                      <w:szCs w:val="21"/>
                      <w:lang w:eastAsia="zh-CN"/>
                    </w:rPr>
                    <w:t>生技</w:t>
                  </w:r>
                  <w:r>
                    <w:rPr>
                      <w:rFonts w:hint="eastAsia" w:ascii="宋体" w:hAnsi="宋体"/>
                      <w:szCs w:val="21"/>
                    </w:rPr>
                    <w:t>部</w:t>
                  </w:r>
                </w:p>
              </w:tc>
              <w:tc>
                <w:tcPr>
                  <w:tcW w:w="1395" w:type="dxa"/>
                  <w:shd w:val="clear" w:color="auto" w:fill="auto"/>
                  <w:vAlign w:val="center"/>
                </w:tcPr>
                <w:p>
                  <w:pPr>
                    <w:shd w:val="clear" w:color="auto" w:fill="C7DAF1" w:themeFill="text2" w:themeFillTint="32"/>
                    <w:jc w:val="center"/>
                    <w:rPr>
                      <w:rFonts w:hint="default" w:ascii="宋体" w:hAnsi="宋体"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4"/>
                      <w:highlight w:val="none"/>
                      <w:lang w:val="en-US" w:eastAsia="zh-CN" w:bidi="ar-SA"/>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132" w:type="dxa"/>
                  <w:shd w:val="clear" w:color="auto" w:fill="auto"/>
                  <w:vAlign w:val="top"/>
                </w:tcPr>
                <w:p>
                  <w:pPr>
                    <w:widowControl/>
                    <w:spacing w:before="40"/>
                    <w:jc w:val="left"/>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Courier New" w:eastAsia="宋体" w:cs="Times New Roman"/>
                      <w:color w:val="000000"/>
                      <w:kern w:val="2"/>
                      <w:sz w:val="21"/>
                      <w:szCs w:val="18"/>
                      <w:lang w:val="en-US" w:eastAsia="zh-CN" w:bidi="ar-SA"/>
                    </w:rPr>
                    <w:t>顾客满意度高于85%</w:t>
                  </w:r>
                </w:p>
              </w:tc>
              <w:tc>
                <w:tcPr>
                  <w:tcW w:w="3915" w:type="dxa"/>
                  <w:shd w:val="clear" w:color="auto" w:fill="auto"/>
                  <w:vAlign w:val="center"/>
                </w:tcPr>
                <w:p>
                  <w:pPr>
                    <w:widowControl/>
                    <w:spacing w:before="40"/>
                    <w:jc w:val="left"/>
                    <w:rPr>
                      <w:rFonts w:ascii="宋体" w:hAnsi="宋体" w:eastAsia="宋体" w:cs="Times New Roman"/>
                      <w:color w:val="000000" w:themeColor="text1"/>
                      <w:kern w:val="2"/>
                      <w:sz w:val="21"/>
                      <w:szCs w:val="24"/>
                      <w:highlight w:val="none"/>
                      <w:lang w:val="en-US" w:eastAsia="zh-CN" w:bidi="ar-SA"/>
                    </w:rPr>
                  </w:pPr>
                  <w:r>
                    <w:rPr>
                      <w:rFonts w:hint="eastAsia" w:ascii="宋体" w:hAnsi="Courier New" w:eastAsia="宋体" w:cs="Times New Roman"/>
                      <w:color w:val="000000"/>
                      <w:kern w:val="2"/>
                      <w:sz w:val="21"/>
                      <w:szCs w:val="18"/>
                      <w:lang w:val="en-US" w:eastAsia="zh-CN" w:bidi="ar-SA"/>
                    </w:rPr>
                    <w:t>顾客满意度调查得分总分÷调查顾客总数×100%</w:t>
                  </w:r>
                </w:p>
              </w:tc>
              <w:tc>
                <w:tcPr>
                  <w:tcW w:w="1095" w:type="dxa"/>
                  <w:shd w:val="clear" w:color="auto" w:fill="auto"/>
                  <w:vAlign w:val="center"/>
                </w:tcPr>
                <w:p>
                  <w:pPr>
                    <w:shd w:val="clear" w:color="auto" w:fill="C7DAF1" w:themeFill="text2" w:themeFillTint="32"/>
                    <w:rPr>
                      <w:rFonts w:hint="default" w:ascii="宋体" w:hAnsi="宋体" w:eastAsia="宋体" w:cs="Times New Roman"/>
                      <w:color w:val="000000" w:themeColor="text1"/>
                      <w:kern w:val="2"/>
                      <w:sz w:val="21"/>
                      <w:szCs w:val="24"/>
                      <w:highlight w:val="none"/>
                      <w:lang w:val="en-US" w:eastAsia="zh-CN" w:bidi="ar-SA"/>
                    </w:rPr>
                  </w:pPr>
                  <w:r>
                    <w:rPr>
                      <w:rFonts w:hint="eastAsia" w:ascii="宋体" w:hAnsi="宋体"/>
                      <w:szCs w:val="21"/>
                      <w:lang w:eastAsia="zh-CN"/>
                    </w:rPr>
                    <w:t>综合</w:t>
                  </w:r>
                  <w:r>
                    <w:rPr>
                      <w:rFonts w:hint="eastAsia" w:ascii="宋体" w:hAnsi="宋体"/>
                      <w:szCs w:val="21"/>
                    </w:rPr>
                    <w:t>部</w:t>
                  </w:r>
                </w:p>
              </w:tc>
              <w:tc>
                <w:tcPr>
                  <w:tcW w:w="1395" w:type="dxa"/>
                  <w:shd w:val="clear" w:color="auto" w:fill="auto"/>
                  <w:vAlign w:val="center"/>
                </w:tcPr>
                <w:p>
                  <w:pPr>
                    <w:shd w:val="clear" w:color="auto" w:fill="C7DAF1" w:themeFill="text2" w:themeFillTint="32"/>
                    <w:jc w:val="center"/>
                    <w:rPr>
                      <w:rFonts w:hint="default" w:ascii="宋体" w:hAnsi="宋体"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shd w:val="clear" w:color="auto" w:fill="auto"/>
                  <w:vAlign w:val="top"/>
                </w:tcPr>
                <w:p>
                  <w:pPr>
                    <w:widowControl/>
                    <w:spacing w:before="40"/>
                    <w:jc w:val="left"/>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Courier New" w:eastAsia="宋体" w:cs="Times New Roman"/>
                      <w:color w:val="000000"/>
                      <w:kern w:val="2"/>
                      <w:sz w:val="21"/>
                      <w:szCs w:val="18"/>
                      <w:lang w:val="en-US" w:eastAsia="zh-CN" w:bidi="ar-SA"/>
                    </w:rPr>
                    <w:t>重大质量责任事故</w:t>
                  </w:r>
                  <w:r>
                    <w:rPr>
                      <w:rFonts w:hint="eastAsia" w:ascii="宋体" w:hAnsi="Courier New" w:cs="Times New Roman"/>
                      <w:color w:val="000000"/>
                      <w:kern w:val="2"/>
                      <w:sz w:val="21"/>
                      <w:szCs w:val="18"/>
                      <w:lang w:val="en-US" w:eastAsia="zh-CN" w:bidi="ar-SA"/>
                    </w:rPr>
                    <w:t>0</w:t>
                  </w:r>
                </w:p>
              </w:tc>
              <w:tc>
                <w:tcPr>
                  <w:tcW w:w="3915" w:type="dxa"/>
                  <w:shd w:val="clear" w:color="auto" w:fill="auto"/>
                  <w:vAlign w:val="top"/>
                </w:tcPr>
                <w:p>
                  <w:pPr>
                    <w:widowControl/>
                    <w:spacing w:before="40"/>
                    <w:jc w:val="left"/>
                    <w:rPr>
                      <w:rFonts w:hint="default" w:ascii="宋体" w:hAnsi="宋体" w:eastAsia="宋体" w:cs="Times New Roman"/>
                      <w:color w:val="000000" w:themeColor="text1"/>
                      <w:kern w:val="2"/>
                      <w:sz w:val="21"/>
                      <w:szCs w:val="24"/>
                      <w:highlight w:val="none"/>
                      <w:lang w:val="en-US" w:eastAsia="zh-CN" w:bidi="ar-SA"/>
                    </w:rPr>
                  </w:pPr>
                  <w:r>
                    <w:rPr>
                      <w:rFonts w:hint="eastAsia" w:ascii="宋体" w:hAnsi="Courier New" w:eastAsia="宋体" w:cs="Times New Roman"/>
                      <w:color w:val="000000"/>
                      <w:kern w:val="2"/>
                      <w:sz w:val="21"/>
                      <w:szCs w:val="18"/>
                      <w:lang w:val="en-US" w:eastAsia="zh-CN" w:bidi="ar-SA"/>
                    </w:rPr>
                    <w:t>按风险控制程序中的风险级别统计重大风险事件</w:t>
                  </w:r>
                </w:p>
              </w:tc>
              <w:tc>
                <w:tcPr>
                  <w:tcW w:w="1095" w:type="dxa"/>
                  <w:shd w:val="clear" w:color="auto" w:fill="auto"/>
                  <w:vAlign w:val="center"/>
                </w:tcPr>
                <w:p>
                  <w:pPr>
                    <w:shd w:val="clear" w:color="auto" w:fill="C7DAF1" w:themeFill="text2" w:themeFillTint="32"/>
                    <w:rPr>
                      <w:rFonts w:hint="eastAsia" w:ascii="宋体" w:hAnsi="宋体" w:eastAsia="宋体" w:cs="Times New Roman"/>
                      <w:color w:val="000000" w:themeColor="text1"/>
                      <w:kern w:val="2"/>
                      <w:sz w:val="21"/>
                      <w:szCs w:val="24"/>
                      <w:highlight w:val="none"/>
                      <w:lang w:val="en-US" w:eastAsia="zh-CN" w:bidi="ar-SA"/>
                    </w:rPr>
                  </w:pPr>
                  <w:r>
                    <w:rPr>
                      <w:rFonts w:hint="eastAsia" w:ascii="宋体" w:hAnsi="宋体" w:cs="Times New Roman"/>
                      <w:color w:val="000000" w:themeColor="text1"/>
                      <w:kern w:val="2"/>
                      <w:sz w:val="21"/>
                      <w:szCs w:val="24"/>
                      <w:highlight w:val="none"/>
                      <w:lang w:val="en-US" w:eastAsia="zh-CN" w:bidi="ar-SA"/>
                    </w:rPr>
                    <w:t>生技部</w:t>
                  </w:r>
                </w:p>
              </w:tc>
              <w:tc>
                <w:tcPr>
                  <w:tcW w:w="1395" w:type="dxa"/>
                  <w:shd w:val="clear" w:color="auto" w:fill="auto"/>
                  <w:vAlign w:val="center"/>
                </w:tcPr>
                <w:p>
                  <w:pPr>
                    <w:shd w:val="clear" w:color="auto" w:fill="C7DAF1" w:themeFill="text2" w:themeFillTint="32"/>
                    <w:jc w:val="center"/>
                    <w:rPr>
                      <w:rFonts w:hint="default" w:ascii="宋体" w:hAnsi="宋体"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0</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 □组织结构变更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组织应确定、提供并维护所需的基础设施情况：</w:t>
            </w:r>
          </w:p>
          <w:p>
            <w:pPr>
              <w:shd w:val="clear" w:color="auto" w:fill="C7DAF1" w:themeFill="text2" w:themeFillTint="3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建筑面积</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3000</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平方米；生产车间</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1</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个；库房</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个；实验室</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个；</w:t>
            </w:r>
          </w:p>
          <w:p>
            <w:pPr>
              <w:shd w:val="clear" w:color="auto" w:fill="C7DAF1" w:themeFill="text2" w:themeFillTint="32"/>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主要生产设备有：</w:t>
            </w:r>
            <w:r>
              <w:rPr>
                <w:rFonts w:hint="eastAsia"/>
                <w:color w:val="000000" w:themeColor="text1"/>
                <w:highlight w:val="none"/>
                <w:u w:val="single"/>
                <w14:textFill>
                  <w14:solidFill>
                    <w14:schemeClr w14:val="tx1"/>
                  </w14:solidFill>
                </w14:textFill>
              </w:rPr>
              <w:t xml:space="preserve">  </w:t>
            </w:r>
            <w:r>
              <w:rPr>
                <w:rFonts w:hint="eastAsia" w:ascii="宋体" w:hAnsi="宋体"/>
                <w:color w:val="000000" w:themeColor="text1"/>
                <w:sz w:val="21"/>
                <w:szCs w:val="21"/>
                <w:lang w:val="en-US" w:eastAsia="zh-CN"/>
                <w14:textFill>
                  <w14:solidFill>
                    <w14:schemeClr w14:val="tx1"/>
                  </w14:solidFill>
                </w14:textFill>
              </w:rPr>
              <w:t>压铸机、坩埚炉、CNC加工中心、铣床、钻床、车床、钻攻中心等生产设备</w:t>
            </w:r>
            <w:r>
              <w:rPr>
                <w:rFonts w:hint="eastAsia" w:ascii="宋体" w:hAnsi="宋体"/>
                <w:color w:val="000000" w:themeColor="text1"/>
                <w:sz w:val="21"/>
                <w:szCs w:val="21"/>
                <w:lang w:eastAsia="zh-CN"/>
                <w14:textFill>
                  <w14:solidFill>
                    <w14:schemeClr w14:val="tx1"/>
                  </w14:solidFill>
                </w14:textFill>
              </w:rPr>
              <w:t>及电脑、</w:t>
            </w:r>
            <w:r>
              <w:rPr>
                <w:rFonts w:hint="eastAsia" w:ascii="宋体" w:hAnsi="宋体"/>
                <w:color w:val="000000" w:themeColor="text1"/>
                <w:sz w:val="21"/>
                <w:szCs w:val="21"/>
                <w:lang w:val="en-US" w:eastAsia="zh-CN"/>
                <w14:textFill>
                  <w14:solidFill>
                    <w14:schemeClr w14:val="tx1"/>
                  </w14:solidFill>
                </w14:textFill>
              </w:rPr>
              <w:t>打印机等</w:t>
            </w:r>
            <w:r>
              <w:rPr>
                <w:rFonts w:hint="eastAsia" w:ascii="宋体" w:hAnsi="宋体"/>
                <w:color w:val="000000" w:themeColor="text1"/>
                <w:sz w:val="21"/>
                <w:szCs w:val="21"/>
                <w:lang w:eastAsia="zh-CN"/>
                <w14:textFill>
                  <w14:solidFill>
                    <w14:schemeClr w14:val="tx1"/>
                  </w14:solidFill>
                </w14:textFill>
              </w:rPr>
              <w:t>办公设备</w:t>
            </w:r>
            <w:r>
              <w:rPr>
                <w:rFonts w:hint="eastAsia"/>
                <w:color w:val="000000" w:themeColor="text1"/>
                <w:highlight w:val="none"/>
                <w:u w:val="single"/>
                <w14:textFill>
                  <w14:solidFill>
                    <w14:schemeClr w14:val="tx1"/>
                  </w14:solidFill>
                </w14:textFill>
              </w:rPr>
              <w:t xml:space="preserve"> </w:t>
            </w:r>
          </w:p>
          <w:p>
            <w:pPr>
              <w:shd w:val="clear" w:color="auto" w:fill="C7DAF1" w:themeFill="text2" w:themeFillTint="3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特种设备：</w:t>
            </w:r>
            <w:r>
              <w:rPr>
                <w:rFonts w:hint="eastAsia" w:ascii="Wingdings" w:hAnsi="Wingdings"/>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 xml:space="preserve">叉车 </w:t>
            </w:r>
            <w:r>
              <w:rPr>
                <w:rFonts w:hint="eastAsia" w:ascii="Wingdings" w:hAnsi="Wingdings"/>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 xml:space="preserve">行车 </w:t>
            </w:r>
            <w:r>
              <w:rPr>
                <w:rFonts w:hint="eastAsia" w:ascii="Wingdings" w:hAnsi="Wingdings"/>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 xml:space="preserve">锅炉 </w:t>
            </w:r>
            <w:r>
              <w:rPr>
                <w:rFonts w:hint="eastAsia" w:ascii="Wingdings" w:hAnsi="Wingdings"/>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 xml:space="preserve">电梯 </w:t>
            </w:r>
            <w:r>
              <w:rPr>
                <w:rFonts w:hint="eastAsia" w:ascii="Wingdings" w:hAnsi="Wingdings"/>
                <w:color w:val="000000" w:themeColor="text1"/>
                <w:highlight w:val="none"/>
                <w:lang w:eastAsia="zh-CN"/>
                <w14:textFill>
                  <w14:solidFill>
                    <w14:schemeClr w14:val="tx1"/>
                  </w14:solidFill>
                </w14:textFill>
              </w:rPr>
              <w:t>□</w:t>
            </w:r>
            <w:r>
              <w:rPr>
                <w:rFonts w:hint="eastAsia" w:ascii="Wingdings" w:hAnsi="Wingdings"/>
                <w:color w:val="000000" w:themeColor="text1"/>
                <w:highlight w:val="none"/>
                <w:lang w:val="en-US" w:eastAsia="zh-CN"/>
                <w14:textFill>
                  <w14:solidFill>
                    <w14:schemeClr w14:val="tx1"/>
                  </w14:solidFill>
                </w14:textFill>
              </w:rPr>
              <w:t>简单</w:t>
            </w:r>
            <w:r>
              <w:rPr>
                <w:rFonts w:hint="eastAsia"/>
                <w:color w:val="000000" w:themeColor="text1"/>
                <w:highlight w:val="none"/>
                <w14:textFill>
                  <w14:solidFill>
                    <w14:schemeClr w14:val="tx1"/>
                  </w14:solidFill>
                </w14:textFill>
              </w:rPr>
              <w:t xml:space="preserve">压力容器  </w:t>
            </w:r>
            <w:r>
              <w:rPr>
                <w:rFonts w:hint="eastAsia" w:ascii="Wingdings" w:hAnsi="Wingdings"/>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 xml:space="preserve">压力管道  </w:t>
            </w:r>
            <w:r>
              <w:rPr>
                <w:rFonts w:hint="eastAsia" w:ascii="Wingdings" w:hAnsi="Wingdings"/>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 xml:space="preserve">不适用  </w:t>
            </w:r>
          </w:p>
          <w:p>
            <w:pPr>
              <w:shd w:val="clear" w:color="auto" w:fill="C7DAF1" w:themeFill="text2" w:themeFillTint="32"/>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特种设备管理：</w:t>
            </w:r>
            <w:r>
              <w:rPr>
                <w:rFonts w:hint="eastAsia" w:ascii="Wingdings" w:hAnsi="Wingdings"/>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 xml:space="preserve">进行了定期检验  </w:t>
            </w:r>
            <w:r>
              <w:rPr>
                <w:rFonts w:hint="eastAsia" w:ascii="Wingdings" w:hAnsi="Wingdings"/>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 xml:space="preserve">未进行定期检验的有： </w:t>
            </w:r>
            <w:r>
              <w:rPr>
                <w:rFonts w:hint="eastAsia"/>
                <w:color w:val="000000" w:themeColor="text1"/>
                <w:highlight w:val="none"/>
                <w:u w:val="single"/>
                <w14:textFill>
                  <w14:solidFill>
                    <w14:schemeClr w14:val="tx1"/>
                  </w14:solidFill>
                </w14:textFill>
              </w:rPr>
              <w:t xml:space="preserve">            </w:t>
            </w:r>
          </w:p>
          <w:p>
            <w:pPr>
              <w:shd w:val="clear" w:color="auto" w:fill="C7DAF1" w:themeFill="text2" w:themeFillTint="32"/>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组织</w:t>
            </w:r>
            <w:r>
              <w:rPr>
                <w:color w:val="000000" w:themeColor="text1"/>
                <w:highlight w:val="none"/>
                <w14:textFill>
                  <w14:solidFill>
                    <w14:schemeClr w14:val="tx1"/>
                  </w14:solidFill>
                </w14:textFill>
              </w:rPr>
              <w:t>现有</w:t>
            </w:r>
            <w:r>
              <w:rPr>
                <w:rFonts w:hint="eastAsia"/>
                <w:color w:val="000000" w:themeColor="text1"/>
                <w:highlight w:val="none"/>
                <w14:textFill>
                  <w14:solidFill>
                    <w14:schemeClr w14:val="tx1"/>
                  </w14:solidFill>
                </w14:textFill>
              </w:rPr>
              <w:t>基础设施可满足质量管理体系运行；</w:t>
            </w:r>
          </w:p>
          <w:p>
            <w:pPr>
              <w:shd w:val="clear" w:color="auto" w:fill="C7DAF1" w:themeFill="text2" w:themeFillTint="3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□组织</w:t>
            </w:r>
            <w:r>
              <w:rPr>
                <w:color w:val="000000" w:themeColor="text1"/>
                <w:highlight w:val="none"/>
                <w14:textFill>
                  <w14:solidFill>
                    <w14:schemeClr w14:val="tx1"/>
                  </w14:solidFill>
                </w14:textFill>
              </w:rPr>
              <w:t>现有</w:t>
            </w:r>
            <w:r>
              <w:rPr>
                <w:rFonts w:hint="eastAsia"/>
                <w:color w:val="000000" w:themeColor="text1"/>
                <w:highlight w:val="none"/>
                <w14:textFill>
                  <w14:solidFill>
                    <w14:schemeClr w14:val="tx1"/>
                  </w14:solidFill>
                </w14:textFill>
              </w:rPr>
              <w:t>基础设施可基本满足质量管理体系运行，但是还有不足需要补充：</w:t>
            </w:r>
            <w:r>
              <w:rPr>
                <w:rFonts w:hint="eastAsia"/>
                <w:color w:val="000000" w:themeColor="text1"/>
                <w:highlight w:val="none"/>
                <w:u w:val="single"/>
                <w14:textFill>
                  <w14:solidFill>
                    <w14:schemeClr w14:val="tx1"/>
                  </w14:solidFill>
                </w14:textFill>
              </w:rPr>
              <w:t xml:space="preserve">           </w:t>
            </w:r>
          </w:p>
          <w:p>
            <w:pPr>
              <w:shd w:val="clear" w:color="auto" w:fill="C7DAF1" w:themeFill="text2" w:themeFillTint="32"/>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□组织</w:t>
            </w:r>
            <w:r>
              <w:rPr>
                <w:color w:val="000000" w:themeColor="text1"/>
                <w:highlight w:val="none"/>
                <w14:textFill>
                  <w14:solidFill>
                    <w14:schemeClr w14:val="tx1"/>
                  </w14:solidFill>
                </w14:textFill>
              </w:rPr>
              <w:t>现有</w:t>
            </w:r>
            <w:r>
              <w:rPr>
                <w:rFonts w:hint="eastAsia"/>
                <w:color w:val="000000" w:themeColor="text1"/>
                <w:highlight w:val="none"/>
                <w14:textFill>
                  <w14:solidFill>
                    <w14:schemeClr w14:val="tx1"/>
                  </w14:solidFill>
                </w14:textFill>
              </w:rPr>
              <w:t>基础设施完全不能满足质量管理体系运行，</w:t>
            </w:r>
            <w:r>
              <w:rPr>
                <w:color w:val="000000" w:themeColor="text1"/>
                <w:highlight w:val="none"/>
                <w14:textFill>
                  <w14:solidFill>
                    <w14:schemeClr w14:val="tx1"/>
                  </w14:solidFill>
                </w14:textFill>
              </w:rPr>
              <w:t>需要从外部供方获得</w:t>
            </w:r>
            <w:r>
              <w:rPr>
                <w:rFonts w:hint="eastAsia"/>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color w:val="000000" w:themeColor="text1"/>
              </w:rPr>
              <w:t xml:space="preserve">组织应确定、提供并维护所需的人为因素与物理因素环境，以运行过程并获得合格产品和服务。 </w:t>
            </w:r>
          </w:p>
          <w:p>
            <w:pPr>
              <w:shd w:val="clear" w:color="auto" w:fill="C7DAF1" w:themeFill="text2" w:themeFillTint="32"/>
              <w:rPr>
                <w:color w:val="000000" w:themeColor="text1"/>
              </w:rPr>
            </w:pPr>
            <w:r>
              <w:rPr>
                <w:rFonts w:hint="eastAsia"/>
                <w:color w:val="000000" w:themeColor="text1"/>
                <w:lang w:eastAsia="zh-CN"/>
              </w:rPr>
              <w:t>■</w:t>
            </w:r>
            <w:r>
              <w:rPr>
                <w:rFonts w:hint="eastAsia"/>
                <w:color w:val="000000" w:themeColor="text1"/>
              </w:rPr>
              <w:t>组织</w:t>
            </w:r>
            <w:r>
              <w:rPr>
                <w:color w:val="000000" w:themeColor="text1"/>
              </w:rPr>
              <w:t>现有</w:t>
            </w:r>
            <w:r>
              <w:rPr>
                <w:rFonts w:hint="eastAsia"/>
                <w:color w:val="000000" w:themeColor="text1"/>
              </w:rPr>
              <w:t>运行环境可满足质量管理体系运行；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运行环境可基本满足质量管理体系运行，说明：</w:t>
            </w:r>
            <w:r>
              <w:rPr>
                <w:rFonts w:hint="eastAsia"/>
                <w:color w:val="000000" w:themeColor="text1"/>
                <w:u w:val="single"/>
              </w:rPr>
              <w:t xml:space="preserve">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运行环境完全不能满足质量管理体系运行，说明：</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组织的</w:t>
            </w:r>
            <w:r>
              <w:rPr>
                <w:color w:val="000000" w:themeColor="text1"/>
                <w:highlight w:val="none"/>
                <w14:textFill>
                  <w14:solidFill>
                    <w14:schemeClr w14:val="tx1"/>
                  </w14:solidFill>
                </w14:textFill>
              </w:rPr>
              <w:t>监视和测量资源</w:t>
            </w:r>
            <w:r>
              <w:rPr>
                <w:rFonts w:hint="eastAsia"/>
                <w:color w:val="000000" w:themeColor="text1"/>
                <w:highlight w:val="none"/>
                <w14:textFill>
                  <w14:solidFill>
                    <w14:schemeClr w14:val="tx1"/>
                  </w14:solidFill>
                </w14:textFill>
              </w:rPr>
              <w:t>：</w:t>
            </w:r>
            <w:r>
              <w:rPr>
                <w:rFonts w:hint="eastAsia" w:ascii="Wingdings" w:hAnsi="Wingdings"/>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 xml:space="preserve">计量器具   </w:t>
            </w:r>
            <w:r>
              <w:rPr>
                <w:rFonts w:hint="eastAsia" w:ascii="Wingdings" w:hAnsi="Wingdings"/>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 xml:space="preserve">服务流程检查表  </w:t>
            </w:r>
            <w:r>
              <w:rPr>
                <w:rFonts w:hint="eastAsia" w:ascii="Wingdings" w:hAnsi="Wingdings"/>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其他</w:t>
            </w:r>
          </w:p>
          <w:p>
            <w:pPr>
              <w:shd w:val="clear" w:color="auto" w:fill="C7DAF1" w:themeFill="text2" w:themeFillTint="3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计量器具的</w:t>
            </w:r>
            <w:r>
              <w:rPr>
                <w:color w:val="000000" w:themeColor="text1"/>
                <w:highlight w:val="none"/>
                <w14:textFill>
                  <w14:solidFill>
                    <w14:schemeClr w14:val="tx1"/>
                  </w14:solidFill>
                </w14:textFill>
              </w:rPr>
              <w:t>测量溯源</w:t>
            </w:r>
            <w:r>
              <w:rPr>
                <w:rFonts w:hint="eastAsia"/>
                <w:color w:val="000000" w:themeColor="text1"/>
                <w:highlight w:val="none"/>
                <w14:textFill>
                  <w14:solidFill>
                    <w14:schemeClr w14:val="tx1"/>
                  </w14:solidFill>
                </w14:textFill>
              </w:rPr>
              <w:t xml:space="preserve">方法：  </w:t>
            </w:r>
            <w:r>
              <w:rPr>
                <w:rFonts w:hint="eastAsia" w:ascii="Wingdings" w:hAnsi="Wingdings"/>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 xml:space="preserve">自校   </w:t>
            </w:r>
            <w:r>
              <w:rPr>
                <w:rFonts w:hint="eastAsia" w:ascii="Wingdings" w:hAnsi="Wingdings"/>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 xml:space="preserve">外校 </w:t>
            </w:r>
          </w:p>
          <w:p>
            <w:pPr>
              <w:shd w:val="clear" w:color="auto" w:fill="C7DAF1" w:themeFill="text2" w:themeFillTint="32"/>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国家强检的计量器具有：</w:t>
            </w:r>
            <w:r>
              <w:rPr>
                <w:rFonts w:hint="eastAsia"/>
                <w:color w:val="000000" w:themeColor="text1"/>
                <w:highlight w:val="none"/>
                <w:u w:val="single"/>
                <w14:textFill>
                  <w14:solidFill>
                    <w14:schemeClr w14:val="tx1"/>
                  </w14:solidFill>
                </w14:textFill>
              </w:rPr>
              <w:t xml:space="preserve">    卡尺、深度尺、杠杆千分尺等</w:t>
            </w:r>
          </w:p>
          <w:p>
            <w:pPr>
              <w:shd w:val="clear" w:color="auto" w:fill="C7DAF1" w:themeFill="text2" w:themeFillTint="32"/>
              <w:rPr>
                <w:color w:val="000000" w:themeColor="text1"/>
                <w:highlight w:val="none"/>
                <w:u w:val="single"/>
              </w:rPr>
            </w:pPr>
            <w:r>
              <w:rPr>
                <w:rFonts w:hint="eastAsia"/>
                <w:color w:val="000000" w:themeColor="text1"/>
                <w:highlight w:val="none"/>
                <w14:textFill>
                  <w14:solidFill>
                    <w14:schemeClr w14:val="tx1"/>
                  </w14:solidFill>
                </w14:textFill>
              </w:rPr>
              <w:t>计量器具管理：</w:t>
            </w:r>
            <w:r>
              <w:rPr>
                <w:rFonts w:hint="eastAsia" w:ascii="Wingdings" w:hAnsi="Wingdings"/>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 xml:space="preserve">进行了定期校准/检定  </w:t>
            </w:r>
            <w:r>
              <w:rPr>
                <w:rFonts w:hint="eastAsia" w:ascii="Wingdings" w:hAnsi="Wingdings"/>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 xml:space="preserve">未进行定期校准/检定的有：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ascii="Wingdings" w:hAnsi="Wingdings"/>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组织已确定在其控制的工作人员所需具备的能力，并采取措施以获得所需的能力，并评价措施的有效性；</w:t>
            </w:r>
          </w:p>
          <w:p>
            <w:pPr>
              <w:shd w:val="clear" w:color="auto" w:fill="C7DAF1" w:themeFill="text2" w:themeFillTint="32"/>
              <w:rPr>
                <w:highlight w:val="none"/>
              </w:rPr>
            </w:pPr>
            <w:r>
              <w:rPr>
                <w:rFonts w:hint="eastAsia"/>
                <w:highlight w:val="none"/>
              </w:rPr>
              <w:t xml:space="preserve">通过 </w:t>
            </w:r>
            <w:r>
              <w:rPr>
                <w:rFonts w:hint="eastAsia" w:ascii="Wingdings" w:hAnsi="Wingdings"/>
                <w:highlight w:val="none"/>
                <w:lang w:eastAsia="zh-CN"/>
              </w:rPr>
              <w:t>■</w:t>
            </w:r>
            <w:r>
              <w:rPr>
                <w:rFonts w:hint="eastAsia"/>
                <w:highlight w:val="none"/>
              </w:rPr>
              <w:t xml:space="preserve">招聘 </w:t>
            </w:r>
            <w:r>
              <w:rPr>
                <w:rFonts w:hint="eastAsia" w:ascii="Wingdings" w:hAnsi="Wingdings"/>
                <w:highlight w:val="none"/>
                <w:lang w:eastAsia="zh-CN"/>
              </w:rPr>
              <w:t>■</w:t>
            </w:r>
            <w:r>
              <w:rPr>
                <w:rFonts w:hint="eastAsia"/>
                <w:highlight w:val="none"/>
              </w:rPr>
              <w:t xml:space="preserve">换岗  </w:t>
            </w:r>
            <w:r>
              <w:rPr>
                <w:rFonts w:hint="eastAsia"/>
                <w:highlight w:val="none"/>
                <w:lang w:eastAsia="zh-CN"/>
              </w:rPr>
              <w:t>■</w:t>
            </w:r>
            <w:r>
              <w:rPr>
                <w:rFonts w:hint="eastAsia"/>
                <w:highlight w:val="none"/>
              </w:rPr>
              <w:t xml:space="preserve">培训  </w:t>
            </w:r>
            <w:r>
              <w:rPr>
                <w:rFonts w:hint="eastAsia" w:ascii="Wingdings" w:hAnsi="Wingdings"/>
                <w:highlight w:val="none"/>
                <w:lang w:eastAsia="zh-CN"/>
              </w:rPr>
              <w:t>■</w:t>
            </w:r>
            <w:r>
              <w:rPr>
                <w:rFonts w:hint="eastAsia"/>
                <w:highlight w:val="none"/>
              </w:rPr>
              <w:t xml:space="preserve">考核   </w:t>
            </w:r>
            <w:r>
              <w:rPr>
                <w:rFonts w:hint="eastAsia" w:ascii="Wingdings" w:hAnsi="Wingdings"/>
                <w:highlight w:val="none"/>
                <w:lang w:eastAsia="zh-CN"/>
              </w:rPr>
              <w:t>□</w:t>
            </w:r>
            <w:r>
              <w:rPr>
                <w:rFonts w:hint="eastAsia"/>
                <w:highlight w:val="none"/>
              </w:rPr>
              <w:t xml:space="preserve">辅导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对国家规定持证上岗的人员资质进行了有效的管理。</w:t>
            </w:r>
          </w:p>
          <w:p>
            <w:pPr>
              <w:shd w:val="clear" w:color="auto" w:fill="C7DAF1" w:themeFill="text2" w:themeFillTint="32"/>
              <w:rPr>
                <w:highlight w:val="none"/>
              </w:rPr>
            </w:pPr>
            <w:r>
              <w:rPr>
                <w:rFonts w:hint="eastAsia"/>
                <w:highlight w:val="none"/>
              </w:rPr>
              <w:t>特种作业人员：</w:t>
            </w:r>
            <w:r>
              <w:rPr>
                <w:rFonts w:hint="eastAsia" w:ascii="Wingdings" w:hAnsi="Wingdings"/>
                <w:highlight w:val="none"/>
                <w:lang w:eastAsia="zh-CN"/>
              </w:rPr>
              <w:t>□</w:t>
            </w:r>
            <w:r>
              <w:rPr>
                <w:rFonts w:hint="eastAsia"/>
                <w:highlight w:val="none"/>
              </w:rPr>
              <w:t xml:space="preserve">电工 </w:t>
            </w:r>
            <w:r>
              <w:rPr>
                <w:rFonts w:hint="eastAsia" w:ascii="Wingdings" w:hAnsi="Wingdings"/>
                <w:highlight w:val="none"/>
                <w:lang w:eastAsia="zh-CN"/>
              </w:rPr>
              <w:t>□</w:t>
            </w:r>
            <w:r>
              <w:rPr>
                <w:rFonts w:hint="eastAsia"/>
                <w:highlight w:val="none"/>
              </w:rPr>
              <w:t xml:space="preserve">焊工  </w:t>
            </w:r>
            <w:r>
              <w:rPr>
                <w:rFonts w:hint="eastAsia" w:ascii="Wingdings" w:hAnsi="Wingdings"/>
                <w:highlight w:val="none"/>
                <w:lang w:eastAsia="zh-CN"/>
              </w:rPr>
              <w:t>□</w:t>
            </w:r>
            <w:r>
              <w:rPr>
                <w:rFonts w:hint="eastAsia"/>
                <w:highlight w:val="none"/>
              </w:rPr>
              <w:t xml:space="preserve">危化品作业  </w:t>
            </w:r>
            <w:r>
              <w:rPr>
                <w:rFonts w:hint="eastAsia" w:ascii="Wingdings" w:hAnsi="Wingdings"/>
                <w:highlight w:val="none"/>
                <w:lang w:eastAsia="zh-CN"/>
              </w:rPr>
              <w:t>□</w:t>
            </w:r>
            <w:r>
              <w:rPr>
                <w:rFonts w:hint="eastAsia"/>
                <w:highlight w:val="none"/>
              </w:rPr>
              <w:t xml:space="preserve">制冷工   </w:t>
            </w:r>
            <w:r>
              <w:rPr>
                <w:rFonts w:hint="eastAsia" w:ascii="Wingdings" w:hAnsi="Wingdings"/>
                <w:highlight w:val="none"/>
                <w:lang w:eastAsia="zh-CN"/>
              </w:rPr>
              <w:t>□</w:t>
            </w:r>
            <w:r>
              <w:rPr>
                <w:rFonts w:hint="eastAsia"/>
                <w:highlight w:val="none"/>
              </w:rPr>
              <w:t xml:space="preserve">其他  </w:t>
            </w:r>
          </w:p>
          <w:p>
            <w:pPr>
              <w:shd w:val="clear" w:color="auto" w:fill="C7DAF1" w:themeFill="text2" w:themeFillTint="32"/>
            </w:pPr>
            <w:r>
              <w:rPr>
                <w:rFonts w:hint="eastAsia"/>
                <w:highlight w:val="none"/>
              </w:rPr>
              <w:t>特种设备作业人员：</w:t>
            </w:r>
            <w:r>
              <w:rPr>
                <w:rFonts w:hint="eastAsia" w:ascii="Wingdings" w:hAnsi="Wingdings"/>
                <w:highlight w:val="none"/>
                <w:lang w:eastAsia="zh-CN"/>
              </w:rPr>
              <w:t>□</w:t>
            </w:r>
            <w:r>
              <w:rPr>
                <w:rFonts w:hint="eastAsia"/>
                <w:highlight w:val="none"/>
              </w:rPr>
              <w:t xml:space="preserve">叉车工 </w:t>
            </w:r>
            <w:r>
              <w:rPr>
                <w:rFonts w:hint="eastAsia" w:ascii="Wingdings" w:hAnsi="Wingdings"/>
                <w:highlight w:val="none"/>
                <w:lang w:eastAsia="zh-CN"/>
              </w:rPr>
              <w:t>□</w:t>
            </w:r>
            <w:r>
              <w:rPr>
                <w:rFonts w:hint="eastAsia"/>
                <w:highlight w:val="none"/>
              </w:rPr>
              <w:t xml:space="preserve">行车工  </w:t>
            </w:r>
            <w:r>
              <w:rPr>
                <w:rFonts w:hint="eastAsia" w:ascii="Wingdings" w:hAnsi="Wingdings"/>
                <w:highlight w:val="none"/>
                <w:lang w:eastAsia="zh-CN"/>
              </w:rPr>
              <w:t>□</w:t>
            </w:r>
            <w:r>
              <w:rPr>
                <w:rFonts w:hint="eastAsia"/>
                <w:highlight w:val="none"/>
              </w:rPr>
              <w:t xml:space="preserve">锅炉工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rPr>
                <w:highlight w:val="none"/>
              </w:rPr>
            </w:pPr>
            <w:r>
              <w:rPr>
                <w:rFonts w:hint="eastAsia"/>
              </w:rPr>
              <w:t>组织为对产品和服务提供满足的要求，已对产品和服务</w:t>
            </w:r>
            <w:r>
              <w:rPr>
                <w:rFonts w:hint="eastAsia"/>
                <w:highlight w:val="none"/>
              </w:rPr>
              <w:t>提供的过程（见4.4）进行策划、实施和控制。策划文件包括：</w:t>
            </w:r>
          </w:p>
          <w:p>
            <w:pPr>
              <w:shd w:val="clear" w:color="auto" w:fill="C7DAF1" w:themeFill="text2" w:themeFillTint="32"/>
              <w:rPr>
                <w:highlight w:val="yellow"/>
              </w:rPr>
            </w:pPr>
            <w:r>
              <w:rPr>
                <w:rFonts w:hint="eastAsia"/>
                <w:highlight w:val="none"/>
              </w:rPr>
              <w:t xml:space="preserve"> </w:t>
            </w:r>
            <w:r>
              <w:rPr>
                <w:rFonts w:hint="eastAsia" w:ascii="Wingdings" w:hAnsi="Wingdings"/>
                <w:highlight w:val="none"/>
                <w:lang w:eastAsia="zh-CN"/>
              </w:rPr>
              <w:t>■</w:t>
            </w:r>
            <w:r>
              <w:rPr>
                <w:rFonts w:hint="eastAsia"/>
                <w:highlight w:val="none"/>
              </w:rPr>
              <w:t xml:space="preserve">工艺流程图 </w:t>
            </w:r>
            <w:r>
              <w:rPr>
                <w:rFonts w:hint="eastAsia" w:ascii="Wingdings" w:hAnsi="Wingdings"/>
                <w:highlight w:val="none"/>
                <w:lang w:eastAsia="zh-CN"/>
              </w:rPr>
              <w:t>■</w:t>
            </w:r>
            <w:r>
              <w:rPr>
                <w:rFonts w:hint="eastAsia"/>
                <w:highlight w:val="none"/>
              </w:rPr>
              <w:t xml:space="preserve">作业文件  </w:t>
            </w:r>
            <w:r>
              <w:rPr>
                <w:rFonts w:hint="eastAsia" w:ascii="Wingdings" w:hAnsi="Wingdings"/>
                <w:highlight w:val="none"/>
                <w:lang w:eastAsia="zh-CN"/>
              </w:rPr>
              <w:t>□</w:t>
            </w:r>
            <w:r>
              <w:rPr>
                <w:rFonts w:hint="eastAsia"/>
                <w:highlight w:val="none"/>
              </w:rPr>
              <w:t xml:space="preserve">检测计划   </w:t>
            </w:r>
            <w:r>
              <w:rPr>
                <w:rFonts w:hint="eastAsia" w:ascii="Wingdings" w:hAnsi="Wingdings"/>
                <w:highlight w:val="none"/>
                <w:lang w:eastAsia="zh-CN"/>
              </w:rPr>
              <w:t>■</w:t>
            </w:r>
            <w:r>
              <w:rPr>
                <w:rFonts w:hint="eastAsia"/>
                <w:highlight w:val="none"/>
              </w:rPr>
              <w:t xml:space="preserve">接收准则  </w:t>
            </w:r>
            <w:r>
              <w:rPr>
                <w:rFonts w:hint="eastAsia" w:ascii="Wingdings" w:hAnsi="Wingdings"/>
                <w:highlight w:val="none"/>
                <w:lang w:eastAsia="zh-CN"/>
              </w:rPr>
              <w:t>□</w:t>
            </w:r>
            <w:r>
              <w:rPr>
                <w:rFonts w:hint="eastAsia"/>
                <w:highlight w:val="none"/>
              </w:rPr>
              <w:t xml:space="preserve">外包控制要求 </w:t>
            </w:r>
            <w:r>
              <w:rPr>
                <w:rFonts w:hint="eastAsia"/>
              </w:rPr>
              <w:t xml:space="preserve">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rPr>
                <w:highlight w:val="none"/>
              </w:rPr>
            </w:pPr>
            <w:r>
              <w:rPr>
                <w:rFonts w:hint="eastAsia"/>
              </w:rPr>
              <w:t>组织对产品和服务要求进行了评</w:t>
            </w:r>
            <w:r>
              <w:rPr>
                <w:rFonts w:hint="eastAsia"/>
                <w:highlight w:val="none"/>
              </w:rPr>
              <w:t>审，确保有能力向顾客提供满足要求的产品和服务。</w:t>
            </w:r>
          </w:p>
          <w:p>
            <w:pPr>
              <w:shd w:val="clear" w:color="auto" w:fill="C7DAF1" w:themeFill="text2" w:themeFillTint="32"/>
            </w:pPr>
            <w:r>
              <w:rPr>
                <w:rFonts w:hint="eastAsia"/>
                <w:highlight w:val="none"/>
              </w:rPr>
              <w:t xml:space="preserve">产品和服务要求为：  </w:t>
            </w:r>
            <w:r>
              <w:rPr>
                <w:rFonts w:hint="eastAsia"/>
                <w:highlight w:val="none"/>
                <w:lang w:eastAsia="zh-CN"/>
              </w:rPr>
              <w:t>■</w:t>
            </w:r>
            <w:r>
              <w:rPr>
                <w:rFonts w:hint="eastAsia"/>
                <w:highlight w:val="none"/>
              </w:rPr>
              <w:t xml:space="preserve">外来标准 </w:t>
            </w:r>
            <w:r>
              <w:rPr>
                <w:rFonts w:hint="eastAsia" w:ascii="Wingdings" w:hAnsi="Wingdings"/>
                <w:highlight w:val="none"/>
                <w:lang w:eastAsia="zh-CN"/>
              </w:rPr>
              <w:t>□</w:t>
            </w:r>
            <w:r>
              <w:rPr>
                <w:rFonts w:hint="eastAsia"/>
                <w:highlight w:val="none"/>
              </w:rPr>
              <w:t xml:space="preserve">企业标准 </w:t>
            </w:r>
            <w:r>
              <w:rPr>
                <w:rFonts w:hint="eastAsia"/>
              </w:rPr>
              <w:t xml:space="preserve">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w:t>
            </w:r>
            <w:r>
              <w:rPr>
                <w:rFonts w:hint="eastAsia"/>
                <w:lang w:eastAsia="zh-CN"/>
              </w:rPr>
              <w:t>不</w:t>
            </w:r>
            <w:r>
              <w:rPr>
                <w:rFonts w:hint="eastAsia"/>
              </w:rPr>
              <w:t>适用）</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highlight w:val="none"/>
              </w:rPr>
            </w:pPr>
            <w:r>
              <w:rPr>
                <w:rFonts w:hint="eastAsia"/>
                <w:highlight w:val="none"/>
              </w:rPr>
              <w:t>组织对外部提供的过程、产品和服务的供方按照对产品/服务质量的类型和程度实施控制。</w:t>
            </w:r>
          </w:p>
          <w:p>
            <w:pPr>
              <w:shd w:val="clear" w:color="auto" w:fill="C7DAF1" w:themeFill="text2" w:themeFillTint="32"/>
              <w:jc w:val="left"/>
              <w:rPr>
                <w:highlight w:val="none"/>
              </w:rPr>
            </w:pPr>
            <w:r>
              <w:rPr>
                <w:rFonts w:hint="eastAsia"/>
                <w:highlight w:val="none"/>
              </w:rPr>
              <w:t>外部提供包括：</w:t>
            </w:r>
            <w:r>
              <w:rPr>
                <w:rFonts w:hint="eastAsia"/>
                <w:highlight w:val="none"/>
                <w:lang w:eastAsia="zh-CN"/>
              </w:rPr>
              <w:t>■</w:t>
            </w:r>
            <w:r>
              <w:rPr>
                <w:rFonts w:hint="eastAsia"/>
                <w:highlight w:val="none"/>
              </w:rPr>
              <w:t xml:space="preserve">原材料采购 </w:t>
            </w:r>
            <w:r>
              <w:rPr>
                <w:rFonts w:hint="eastAsia" w:ascii="Wingdings" w:hAnsi="Wingdings"/>
                <w:highlight w:val="none"/>
                <w:lang w:eastAsia="zh-CN"/>
              </w:rPr>
              <w:t>□</w:t>
            </w:r>
            <w:r>
              <w:rPr>
                <w:rFonts w:hint="eastAsia"/>
                <w:highlight w:val="none"/>
              </w:rPr>
              <w:t xml:space="preserve">委托加工  </w:t>
            </w:r>
            <w:r>
              <w:rPr>
                <w:rFonts w:hint="eastAsia" w:ascii="Wingdings" w:hAnsi="Wingdings"/>
                <w:highlight w:val="none"/>
                <w:lang w:eastAsia="zh-CN"/>
              </w:rPr>
              <w:t>■</w:t>
            </w:r>
            <w:r>
              <w:rPr>
                <w:rFonts w:hint="eastAsia"/>
                <w:highlight w:val="none"/>
              </w:rPr>
              <w:t xml:space="preserve">顾客要求 </w:t>
            </w:r>
            <w:r>
              <w:rPr>
                <w:rFonts w:hint="eastAsia" w:ascii="Wingdings" w:hAnsi="Wingdings"/>
                <w:highlight w:val="none"/>
                <w:lang w:eastAsia="zh-CN"/>
              </w:rPr>
              <w:t>□</w:t>
            </w:r>
            <w:r>
              <w:rPr>
                <w:rFonts w:hint="eastAsia"/>
                <w:highlight w:val="none"/>
              </w:rPr>
              <w:t xml:space="preserve">运输  </w:t>
            </w:r>
            <w:r>
              <w:rPr>
                <w:rFonts w:hint="eastAsia" w:ascii="Wingdings" w:hAnsi="Wingdings"/>
                <w:highlight w:val="none"/>
                <w:lang w:eastAsia="zh-CN"/>
              </w:rPr>
              <w:t>□</w:t>
            </w:r>
            <w:r>
              <w:rPr>
                <w:rFonts w:hint="eastAsia"/>
                <w:highlight w:val="none"/>
              </w:rPr>
              <w:t>其他</w:t>
            </w:r>
          </w:p>
          <w:p>
            <w:pPr>
              <w:shd w:val="clear" w:color="auto" w:fill="C7DAF1" w:themeFill="text2" w:themeFillTint="32"/>
              <w:jc w:val="left"/>
              <w:rPr>
                <w:highlight w:val="none"/>
              </w:rPr>
            </w:pPr>
            <w:r>
              <w:rPr>
                <w:rFonts w:hint="eastAsia"/>
                <w:highlight w:val="none"/>
              </w:rPr>
              <w:t>提供给外部供方的信息</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highlight w:val="none"/>
                    </w:rPr>
                  </w:pPr>
                  <w:r>
                    <w:rPr>
                      <w:rFonts w:hint="eastAsia"/>
                      <w:highlight w:val="none"/>
                    </w:rPr>
                    <w:t>产品/服务名称</w:t>
                  </w:r>
                </w:p>
              </w:tc>
              <w:tc>
                <w:tcPr>
                  <w:tcW w:w="3665" w:type="dxa"/>
                </w:tcPr>
                <w:p>
                  <w:pPr>
                    <w:shd w:val="clear" w:color="auto" w:fill="C7DAF1" w:themeFill="text2" w:themeFillTint="32"/>
                    <w:jc w:val="left"/>
                    <w:rPr>
                      <w:highlight w:val="none"/>
                    </w:rPr>
                  </w:pPr>
                  <w:r>
                    <w:rPr>
                      <w:rFonts w:hint="eastAsia"/>
                      <w:highlight w:val="none"/>
                    </w:rPr>
                    <w:t>关键过程</w:t>
                  </w:r>
                </w:p>
              </w:tc>
              <w:tc>
                <w:tcPr>
                  <w:tcW w:w="3265" w:type="dxa"/>
                </w:tcPr>
                <w:p>
                  <w:pPr>
                    <w:shd w:val="clear" w:color="auto" w:fill="C7DAF1" w:themeFill="text2" w:themeFillTint="32"/>
                    <w:jc w:val="left"/>
                    <w:rPr>
                      <w:highlight w:val="none"/>
                    </w:rPr>
                  </w:pPr>
                  <w:r>
                    <w:rPr>
                      <w:rFonts w:hint="eastAsia"/>
                      <w:highlight w:val="none"/>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ascii="宋体" w:hAnsi="宋体" w:cs="宋体"/>
                      <w:color w:val="000000"/>
                      <w:kern w:val="0"/>
                      <w:szCs w:val="21"/>
                    </w:rPr>
                  </w:pPr>
                  <w:r>
                    <w:rPr>
                      <w:rFonts w:ascii="宋体" w:hAnsi="宋体" w:cs="宋体"/>
                      <w:color w:val="000000"/>
                      <w:kern w:val="0"/>
                      <w:szCs w:val="21"/>
                    </w:rPr>
                    <w:t>摩托车机油滤清器、通用机械发动机气缸头的生产</w:t>
                  </w:r>
                  <w:r>
                    <w:rPr>
                      <w:rFonts w:hint="eastAsia" w:ascii="宋体" w:hAnsi="宋体" w:cs="宋体"/>
                      <w:color w:val="000000"/>
                      <w:kern w:val="0"/>
                      <w:szCs w:val="21"/>
                    </w:rPr>
                    <w:t xml:space="preserve"> </w:t>
                  </w:r>
                </w:p>
              </w:tc>
              <w:tc>
                <w:tcPr>
                  <w:tcW w:w="3665" w:type="dxa"/>
                  <w:vAlign w:val="top"/>
                </w:tcPr>
                <w:p>
                  <w:pPr>
                    <w:shd w:val="clear" w:color="auto" w:fill="C7DAF1" w:themeFill="text2" w:themeFillTint="32"/>
                    <w:jc w:val="left"/>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压铸、机加过程</w:t>
                  </w:r>
                </w:p>
              </w:tc>
              <w:tc>
                <w:tcPr>
                  <w:tcW w:w="3265" w:type="dxa"/>
                  <w:vAlign w:val="top"/>
                </w:tcPr>
                <w:p>
                  <w:pPr>
                    <w:shd w:val="clear" w:color="auto" w:fill="C7DAF1" w:themeFill="text2" w:themeFillTint="32"/>
                    <w:jc w:val="left"/>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尺寸、外观、表面质量、材质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592" w:type="dxa"/>
                </w:tcPr>
                <w:p>
                  <w:pPr>
                    <w:shd w:val="clear" w:color="auto" w:fill="C7DAF1" w:themeFill="text2" w:themeFillTint="32"/>
                    <w:jc w:val="left"/>
                    <w:rPr>
                      <w:highlight w:val="none"/>
                    </w:rPr>
                  </w:pPr>
                </w:p>
              </w:tc>
              <w:tc>
                <w:tcPr>
                  <w:tcW w:w="3665" w:type="dxa"/>
                  <w:vAlign w:val="top"/>
                </w:tcPr>
                <w:p>
                  <w:pPr>
                    <w:shd w:val="clear" w:color="auto" w:fill="C7DAF1" w:themeFill="text2" w:themeFillTint="32"/>
                    <w:jc w:val="left"/>
                    <w:rPr>
                      <w:rFonts w:hint="eastAsia" w:ascii="Times New Roman" w:hAnsi="Times New Roman" w:eastAsia="宋体" w:cs="Times New Roman"/>
                      <w:kern w:val="2"/>
                      <w:sz w:val="21"/>
                      <w:szCs w:val="24"/>
                      <w:highlight w:val="yellow"/>
                      <w:lang w:val="en-US" w:eastAsia="zh-CN" w:bidi="ar-SA"/>
                    </w:rPr>
                  </w:pP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highlight w:val="none"/>
                    </w:rPr>
                  </w:pPr>
                </w:p>
              </w:tc>
              <w:tc>
                <w:tcPr>
                  <w:tcW w:w="3665" w:type="dxa"/>
                </w:tcPr>
                <w:p>
                  <w:pPr>
                    <w:shd w:val="clear" w:color="auto" w:fill="C7DAF1" w:themeFill="text2" w:themeFillTint="32"/>
                    <w:jc w:val="left"/>
                    <w:rPr>
                      <w:highlight w:val="none"/>
                    </w:rPr>
                  </w:pPr>
                </w:p>
              </w:tc>
              <w:tc>
                <w:tcPr>
                  <w:tcW w:w="3265" w:type="dxa"/>
                </w:tcPr>
                <w:p>
                  <w:pPr>
                    <w:shd w:val="clear" w:color="auto" w:fill="C7DAF1" w:themeFill="text2" w:themeFillTint="32"/>
                    <w:jc w:val="left"/>
                    <w:rPr>
                      <w:highlight w:val="none"/>
                    </w:rPr>
                  </w:pPr>
                </w:p>
              </w:tc>
            </w:tr>
          </w:tbl>
          <w:p>
            <w:pPr>
              <w:shd w:val="clear" w:color="auto" w:fill="C7DAF1" w:themeFill="text2" w:themeFillTint="32"/>
              <w:jc w:val="left"/>
              <w:rPr>
                <w:rFonts w:hint="eastAsia" w:ascii="Wingdings" w:hAnsi="Wingdings"/>
                <w:color w:val="000000" w:themeColor="text1"/>
                <w:highlight w:val="none"/>
                <w:lang w:eastAsia="zh-CN"/>
              </w:rPr>
            </w:pPr>
          </w:p>
          <w:p>
            <w:pPr>
              <w:shd w:val="clear" w:color="auto" w:fill="C7DAF1" w:themeFill="text2" w:themeFillTint="32"/>
              <w:jc w:val="left"/>
              <w:rPr>
                <w:rFonts w:hint="eastAsia" w:ascii="Wingdings" w:hAnsi="Wingdings"/>
                <w:color w:val="000000" w:themeColor="text1"/>
                <w:highlight w:val="none"/>
                <w:lang w:eastAsia="zh-CN"/>
              </w:rPr>
            </w:pPr>
            <w:r>
              <w:rPr>
                <w:rFonts w:hint="eastAsia" w:ascii="Wingdings" w:hAnsi="Wingdings"/>
                <w:color w:val="000000" w:themeColor="text1"/>
                <w:highlight w:val="none"/>
                <w:lang w:eastAsia="zh-CN"/>
              </w:rPr>
              <w:t>需要确认的过程： 抛丸、钝化            ，</w:t>
            </w:r>
          </w:p>
          <w:p>
            <w:pPr>
              <w:shd w:val="clear" w:color="auto" w:fill="C7DAF1" w:themeFill="text2" w:themeFillTint="32"/>
              <w:jc w:val="left"/>
              <w:rPr>
                <w:color w:val="000000" w:themeColor="text1"/>
                <w:highlight w:val="none"/>
              </w:rPr>
            </w:pPr>
            <w:r>
              <w:rPr>
                <w:rFonts w:hint="eastAsia" w:ascii="Wingdings" w:hAnsi="Wingdings"/>
                <w:color w:val="000000" w:themeColor="text1"/>
                <w:highlight w:val="none"/>
                <w:lang w:eastAsia="zh-CN"/>
              </w:rPr>
              <w:t>□进行了有效的确认□存在不</w:t>
            </w:r>
            <w:r>
              <w:rPr>
                <w:rFonts w:hint="eastAsia"/>
                <w:color w:val="000000" w:themeColor="text1"/>
                <w:highlight w:val="none"/>
              </w:rPr>
              <w:t>足，说明</w:t>
            </w:r>
            <w:r>
              <w:rPr>
                <w:rFonts w:hint="eastAsia"/>
                <w:color w:val="000000" w:themeColor="text1"/>
                <w:highlight w:val="none"/>
                <w:lang w:eastAsia="zh-CN"/>
              </w:rPr>
              <w:t>：该过程为外包过程，按《采购控制程序》进行控制</w:t>
            </w:r>
          </w:p>
          <w:p>
            <w:pPr>
              <w:shd w:val="clear" w:color="auto" w:fill="C7DAF1" w:themeFill="text2" w:themeFillTint="32"/>
              <w:jc w:val="left"/>
            </w:pPr>
            <w:r>
              <w:rPr>
                <w:rFonts w:hint="eastAsia"/>
                <w:color w:val="000000" w:themeColor="text1"/>
                <w:highlight w:val="none"/>
              </w:rPr>
              <w:t>对生产和服务提供过程的</w:t>
            </w:r>
            <w:r>
              <w:rPr>
                <w:rFonts w:hint="eastAsia"/>
                <w:color w:val="000000" w:themeColor="text1"/>
              </w:rPr>
              <w:t>控制</w:t>
            </w:r>
            <w:r>
              <w:rPr>
                <w:rFonts w:hint="eastAsia" w:ascii="Wingdings" w:hAnsi="Wingdings"/>
                <w:color w:val="000000" w:themeColor="text1"/>
                <w:lang w:eastAsia="zh-CN"/>
              </w:rPr>
              <w:t>■</w:t>
            </w:r>
            <w:r>
              <w:rPr>
                <w:rFonts w:hint="eastAsia"/>
                <w:color w:val="000000" w:themeColor="text1"/>
              </w:rPr>
              <w:t xml:space="preserve">符合要求 </w:t>
            </w:r>
            <w:r>
              <w:rPr>
                <w:rFonts w:hint="eastAsia" w:ascii="Wingdings" w:hAnsi="Wingdings"/>
                <w:color w:val="000000" w:themeColor="text1"/>
                <w:lang w:eastAsia="zh-CN"/>
              </w:rPr>
              <w:t>□</w:t>
            </w:r>
            <w:r>
              <w:rPr>
                <w:rFonts w:hint="eastAsia"/>
                <w:color w:val="000000" w:themeColor="text1"/>
              </w:rPr>
              <w:t>存在不足，说明</w:t>
            </w:r>
            <w:r>
              <w:rPr>
                <w:rFonts w:hint="eastAsia"/>
                <w:color w:val="000000" w:themeColor="text1"/>
                <w:u w:val="single"/>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组织爱护在组织控制下或</w:t>
            </w:r>
            <w:r>
              <w:rPr>
                <w:rFonts w:hint="eastAsia"/>
                <w:highlight w:val="none"/>
              </w:rPr>
              <w:t>使用顾客或外部供方的财产。</w:t>
            </w:r>
          </w:p>
          <w:p>
            <w:pPr>
              <w:shd w:val="clear" w:color="auto" w:fill="C7DAF1" w:themeFill="text2" w:themeFillTint="3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目前的顾客或外部供方财产包括：</w:t>
            </w:r>
          </w:p>
          <w:p>
            <w:pPr>
              <w:shd w:val="clear" w:color="auto" w:fill="C7DAF1" w:themeFill="text2" w:themeFillTint="32"/>
            </w:pPr>
            <w:r>
              <w:rPr>
                <w:rFonts w:hint="eastAsia" w:ascii="Wingdings" w:hAnsi="Wingdings"/>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 xml:space="preserve">原材料 </w:t>
            </w:r>
            <w:r>
              <w:rPr>
                <w:rFonts w:hint="eastAsia" w:ascii="Wingdings" w:hAnsi="Wingdings"/>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 xml:space="preserve">设备 </w:t>
            </w:r>
            <w:r>
              <w:rPr>
                <w:rFonts w:hint="eastAsia" w:ascii="Wingdings" w:hAnsi="Wingdings"/>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 xml:space="preserve">检测设备 </w:t>
            </w:r>
            <w:r>
              <w:rPr>
                <w:rFonts w:hint="eastAsia" w:ascii="Wingdings" w:hAnsi="Wingdings"/>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 xml:space="preserve">图纸 </w:t>
            </w:r>
            <w:r>
              <w:rPr>
                <w:rFonts w:hint="eastAsia" w:ascii="Wingdings" w:hAnsi="Wingdings"/>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 xml:space="preserve">配方 </w:t>
            </w:r>
            <w:r>
              <w:rPr>
                <w:rFonts w:hint="eastAsia" w:ascii="Wingdings" w:hAnsi="Wingdings"/>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个人信</w:t>
            </w:r>
            <w:r>
              <w:rPr>
                <w:rFonts w:hint="eastAsia"/>
                <w:color w:val="000000" w:themeColor="text1"/>
                <w14:textFill>
                  <w14:solidFill>
                    <w14:schemeClr w14:val="tx1"/>
                  </w14:solidFill>
                </w14:textFill>
              </w:rPr>
              <w:t>息</w:t>
            </w:r>
            <w:r>
              <w:rPr>
                <w:rFonts w:hint="eastAsia"/>
                <w:color w:val="0000FF"/>
              </w:rPr>
              <w:t xml:space="preserve">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组织应满足与产品和服务相关的</w:t>
            </w:r>
            <w:r>
              <w:rPr>
                <w:rFonts w:hint="eastAsia"/>
                <w:highlight w:val="none"/>
              </w:rPr>
              <w:t xml:space="preserve">交付后活动的要求。 </w:t>
            </w:r>
          </w:p>
          <w:p>
            <w:pPr>
              <w:shd w:val="clear" w:color="auto" w:fill="C7DAF1" w:themeFill="text2" w:themeFillTint="32"/>
              <w:rPr>
                <w:highlight w:val="none"/>
              </w:rPr>
            </w:pPr>
            <w:r>
              <w:rPr>
                <w:rFonts w:hint="eastAsia"/>
                <w:highlight w:val="none"/>
              </w:rPr>
              <w:t>目前交付后活动：</w:t>
            </w:r>
            <w:r>
              <w:rPr>
                <w:rFonts w:hint="eastAsia"/>
                <w:highlight w:val="none"/>
                <w:lang w:eastAsia="zh-CN"/>
              </w:rPr>
              <w:t>■</w:t>
            </w:r>
            <w:r>
              <w:rPr>
                <w:rFonts w:hint="eastAsia"/>
                <w:highlight w:val="none"/>
              </w:rPr>
              <w:t xml:space="preserve">三包 </w:t>
            </w:r>
            <w:r>
              <w:rPr>
                <w:rFonts w:hint="eastAsia"/>
                <w:highlight w:val="none"/>
                <w:lang w:eastAsia="zh-CN"/>
              </w:rPr>
              <w:t>■</w:t>
            </w:r>
            <w:r>
              <w:rPr>
                <w:rFonts w:hint="eastAsia"/>
                <w:highlight w:val="none"/>
              </w:rPr>
              <w:t xml:space="preserve">维修 </w:t>
            </w:r>
            <w:r>
              <w:rPr>
                <w:rFonts w:hint="eastAsia"/>
                <w:highlight w:val="none"/>
                <w:lang w:eastAsia="zh-CN"/>
              </w:rPr>
              <w:t>■</w:t>
            </w:r>
            <w:r>
              <w:rPr>
                <w:rFonts w:hint="eastAsia"/>
                <w:highlight w:val="none"/>
              </w:rPr>
              <w:t xml:space="preserve">赔偿 </w:t>
            </w:r>
            <w:r>
              <w:rPr>
                <w:rFonts w:hint="eastAsia" w:ascii="Wingdings" w:hAnsi="Wingdings"/>
                <w:highlight w:val="none"/>
                <w:lang w:eastAsia="zh-CN"/>
              </w:rPr>
              <w:t>□</w:t>
            </w:r>
            <w:r>
              <w:rPr>
                <w:rFonts w:hint="eastAsia"/>
                <w:highlight w:val="none"/>
              </w:rPr>
              <w:t xml:space="preserve">道歉 </w:t>
            </w:r>
            <w:r>
              <w:rPr>
                <w:rFonts w:hint="eastAsia" w:ascii="Wingdings" w:hAnsi="Wingdings"/>
                <w:highlight w:val="none"/>
                <w:lang w:eastAsia="zh-CN"/>
              </w:rPr>
              <w:t>□</w:t>
            </w:r>
            <w:r>
              <w:rPr>
                <w:rFonts w:hint="eastAsia"/>
                <w:highlight w:val="none"/>
              </w:rPr>
              <w:t xml:space="preserve">最终处置 </w:t>
            </w:r>
            <w:r>
              <w:rPr>
                <w:rFonts w:hint="eastAsia" w:ascii="Wingdings" w:hAnsi="Wingdings"/>
                <w:highlight w:val="none"/>
                <w:lang w:eastAsia="zh-CN"/>
              </w:rPr>
              <w:t>□</w:t>
            </w:r>
            <w:r>
              <w:rPr>
                <w:rFonts w:hint="eastAsia"/>
                <w:highlight w:val="none"/>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组织在适当阶段实施策划的安排，以验证产品和服务的要求已得到满足。 </w:t>
            </w:r>
          </w:p>
          <w:p>
            <w:pPr>
              <w:shd w:val="clear" w:color="auto" w:fill="C7DAF1" w:themeFill="text2" w:themeFillTint="32"/>
              <w:rPr>
                <w:highlight w:val="none"/>
              </w:rPr>
            </w:pPr>
            <w:r>
              <w:rPr>
                <w:rFonts w:hint="eastAsia"/>
                <w:highlight w:val="none"/>
              </w:rPr>
              <w:t>实施了</w:t>
            </w:r>
            <w:r>
              <w:rPr>
                <w:rFonts w:hint="eastAsia" w:ascii="Wingdings" w:hAnsi="Wingdings"/>
                <w:highlight w:val="none"/>
                <w:lang w:eastAsia="zh-CN"/>
              </w:rPr>
              <w:t>■</w:t>
            </w:r>
            <w:r>
              <w:rPr>
                <w:rFonts w:hint="eastAsia"/>
                <w:highlight w:val="none"/>
              </w:rPr>
              <w:t xml:space="preserve">进货检验 </w:t>
            </w:r>
            <w:r>
              <w:rPr>
                <w:rFonts w:hint="eastAsia" w:ascii="Wingdings" w:hAnsi="Wingdings"/>
                <w:highlight w:val="none"/>
                <w:lang w:eastAsia="zh-CN"/>
              </w:rPr>
              <w:t>□</w:t>
            </w:r>
            <w:r>
              <w:rPr>
                <w:rFonts w:hint="eastAsia"/>
                <w:highlight w:val="none"/>
              </w:rPr>
              <w:t xml:space="preserve">首件检验 </w:t>
            </w:r>
            <w:r>
              <w:rPr>
                <w:rFonts w:hint="eastAsia" w:ascii="Wingdings" w:hAnsi="Wingdings"/>
                <w:highlight w:val="none"/>
                <w:lang w:eastAsia="zh-CN"/>
              </w:rPr>
              <w:t>■</w:t>
            </w:r>
            <w:r>
              <w:rPr>
                <w:rFonts w:hint="eastAsia"/>
                <w:highlight w:val="none"/>
              </w:rPr>
              <w:t xml:space="preserve">过程检验 </w:t>
            </w:r>
            <w:r>
              <w:rPr>
                <w:rFonts w:hint="eastAsia"/>
                <w:highlight w:val="none"/>
                <w:lang w:eastAsia="zh-CN"/>
              </w:rPr>
              <w:t>■</w:t>
            </w:r>
            <w:r>
              <w:rPr>
                <w:rFonts w:hint="eastAsia"/>
                <w:highlight w:val="none"/>
              </w:rPr>
              <w:t xml:space="preserve">最终检验 </w:t>
            </w:r>
            <w:r>
              <w:rPr>
                <w:rFonts w:hint="eastAsia" w:ascii="Wingdings" w:hAnsi="Wingdings"/>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 xml:space="preserve">型式检验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《型式检验报告》，如：</w:t>
            </w:r>
            <w:r>
              <w:rPr>
                <w:rFonts w:hint="eastAsia"/>
                <w:highlight w:val="none"/>
                <w:u w:val="single"/>
              </w:rPr>
              <w:t xml:space="preserve">                                </w:t>
            </w:r>
            <w:r>
              <w:rPr>
                <w:rFonts w:hint="eastAsia"/>
                <w:highlight w:val="none"/>
              </w:rPr>
              <w:t>。</w:t>
            </w:r>
          </w:p>
          <w:p>
            <w:pPr>
              <w:shd w:val="clear" w:color="auto" w:fill="C7DAF1" w:themeFill="text2" w:themeFillTint="32"/>
              <w:rPr>
                <w:highlight w:val="none"/>
              </w:rPr>
            </w:pPr>
            <w:r>
              <w:rPr>
                <w:rFonts w:hint="eastAsia"/>
                <w:highlight w:val="none"/>
              </w:rPr>
              <w:t>产品检验/服务放行：</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color w:val="000000"/>
                <w:szCs w:val="18"/>
              </w:rPr>
              <w:t>2021年6月15日——6月16日</w:t>
            </w:r>
            <w:r>
              <w:rPr>
                <w:rFonts w:hint="eastAsia"/>
                <w:highlight w:val="none"/>
              </w:rPr>
              <w:t>实施了质量管理体系内部审核，对质量管理体系的符合性和有效性进行了审核。内审发现的</w:t>
            </w:r>
            <w:r>
              <w:rPr>
                <w:rFonts w:hint="eastAsia"/>
                <w:highlight w:val="none"/>
                <w:u w:val="single"/>
                <w:lang w:val="en-US" w:eastAsia="zh-CN"/>
              </w:rPr>
              <w:t>2</w:t>
            </w:r>
            <w:r>
              <w:rPr>
                <w:rFonts w:hint="eastAsia"/>
                <w:highlight w:val="none"/>
                <w:u w:val="single"/>
              </w:rPr>
              <w:t xml:space="preserve"> </w:t>
            </w:r>
            <w:r>
              <w:rPr>
                <w:rFonts w:hint="eastAsia"/>
                <w:highlight w:val="none"/>
              </w:rPr>
              <w:t>项不符合在本次审核前已完成整改。在公司内完成的这些审核是可信的。</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若是组织多场所/临时场所：（按照组织的实际情况选择）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若是多班次操作：（按照组织的实际情况选择）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最高管理者已按策划的时间间隔，在</w:t>
            </w:r>
            <w:r>
              <w:rPr>
                <w:rFonts w:hint="eastAsia" w:ascii="宋体" w:hAnsi="宋体"/>
                <w:sz w:val="24"/>
              </w:rPr>
              <w:t>2021年</w:t>
            </w:r>
            <w:r>
              <w:rPr>
                <w:rFonts w:hint="eastAsia" w:ascii="宋体" w:hAnsi="宋体"/>
                <w:sz w:val="24"/>
                <w:lang w:val="en-US" w:eastAsia="zh-CN"/>
              </w:rPr>
              <w:t>7</w:t>
            </w:r>
            <w:r>
              <w:rPr>
                <w:rFonts w:hint="eastAsia" w:ascii="宋体" w:hAnsi="宋体"/>
                <w:sz w:val="24"/>
              </w:rPr>
              <w:t>月2</w:t>
            </w:r>
            <w:r>
              <w:rPr>
                <w:rFonts w:hint="eastAsia" w:ascii="宋体" w:hAnsi="宋体"/>
                <w:sz w:val="24"/>
                <w:lang w:val="en-US" w:eastAsia="zh-CN"/>
              </w:rPr>
              <w:t>0</w:t>
            </w:r>
            <w:r>
              <w:rPr>
                <w:rFonts w:hint="eastAsia" w:ascii="宋体" w:hAnsi="宋体"/>
                <w:sz w:val="24"/>
                <w:lang w:eastAsia="zh-CN"/>
              </w:rPr>
              <w:t>日</w:t>
            </w:r>
            <w:r>
              <w:rPr>
                <w:rFonts w:hint="eastAsia"/>
                <w:highlight w:val="none"/>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spacing w:line="240" w:lineRule="auto"/>
            </w:pPr>
            <w:r>
              <w:rPr>
                <w:rFonts w:hint="eastAsia"/>
              </w:rPr>
              <w:t xml:space="preserve">■不合格产品/服务 </w:t>
            </w:r>
            <w:r>
              <w:rPr>
                <w:rFonts w:ascii="Wingdings" w:hAnsi="Wingdings"/>
              </w:rPr>
              <w:t></w:t>
            </w:r>
            <w:r>
              <w:rPr>
                <w:rFonts w:hint="eastAsia"/>
              </w:rPr>
              <w:t xml:space="preserve">自我验证的结果  ■顾客投诉  </w:t>
            </w:r>
            <w:r>
              <w:rPr>
                <w:rFonts w:hint="eastAsia"/>
                <w:lang w:eastAsia="zh-CN"/>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99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533"/>
        <w:gridCol w:w="642"/>
        <w:gridCol w:w="731"/>
        <w:gridCol w:w="638"/>
        <w:gridCol w:w="741"/>
        <w:gridCol w:w="741"/>
        <w:gridCol w:w="740"/>
        <w:gridCol w:w="741"/>
        <w:gridCol w:w="560"/>
        <w:gridCol w:w="1011"/>
        <w:gridCol w:w="644"/>
        <w:gridCol w:w="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lang w:val="en-GB"/>
                <w14:textFill>
                  <w14:solidFill>
                    <w14:schemeClr w14:val="tx1"/>
                  </w14:solidFill>
                </w14:textFill>
              </w:rPr>
              <w:t>标准条款</w:t>
            </w:r>
          </w:p>
        </w:tc>
        <w:tc>
          <w:tcPr>
            <w:tcW w:w="533"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14:textFill>
                  <w14:solidFill>
                    <w14:schemeClr w14:val="tx1"/>
                  </w14:solidFill>
                </w14:textFill>
              </w:rPr>
              <w:t>4.1</w:t>
            </w:r>
          </w:p>
        </w:tc>
        <w:tc>
          <w:tcPr>
            <w:tcW w:w="642"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14:textFill>
                  <w14:solidFill>
                    <w14:schemeClr w14:val="tx1"/>
                  </w14:solidFill>
                </w14:textFill>
              </w:rPr>
              <w:t>4.2</w:t>
            </w:r>
          </w:p>
        </w:tc>
        <w:tc>
          <w:tcPr>
            <w:tcW w:w="731"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14:textFill>
                  <w14:solidFill>
                    <w14:schemeClr w14:val="tx1"/>
                  </w14:solidFill>
                </w14:textFill>
              </w:rPr>
              <w:t>4.3</w:t>
            </w:r>
          </w:p>
        </w:tc>
        <w:tc>
          <w:tcPr>
            <w:tcW w:w="638"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14:textFill>
                  <w14:solidFill>
                    <w14:schemeClr w14:val="tx1"/>
                  </w14:solidFill>
                </w14:textFill>
              </w:rPr>
              <w:t>4.4</w:t>
            </w:r>
          </w:p>
        </w:tc>
        <w:tc>
          <w:tcPr>
            <w:tcW w:w="741"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14:textFill>
                  <w14:solidFill>
                    <w14:schemeClr w14:val="tx1"/>
                  </w14:solidFill>
                </w14:textFill>
              </w:rPr>
              <w:t>5.1</w:t>
            </w:r>
          </w:p>
        </w:tc>
        <w:tc>
          <w:tcPr>
            <w:tcW w:w="741"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14:textFill>
                  <w14:solidFill>
                    <w14:schemeClr w14:val="tx1"/>
                  </w14:solidFill>
                </w14:textFill>
              </w:rPr>
              <w:t>5.2</w:t>
            </w:r>
          </w:p>
        </w:tc>
        <w:tc>
          <w:tcPr>
            <w:tcW w:w="740"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14:textFill>
                  <w14:solidFill>
                    <w14:schemeClr w14:val="tx1"/>
                  </w14:solidFill>
                </w14:textFill>
              </w:rPr>
              <w:t>5.3</w:t>
            </w:r>
          </w:p>
        </w:tc>
        <w:tc>
          <w:tcPr>
            <w:tcW w:w="741"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14:textFill>
                  <w14:solidFill>
                    <w14:schemeClr w14:val="tx1"/>
                  </w14:solidFill>
                </w14:textFill>
              </w:rPr>
              <w:t>6.1</w:t>
            </w:r>
          </w:p>
        </w:tc>
        <w:tc>
          <w:tcPr>
            <w:tcW w:w="560"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14:textFill>
                  <w14:solidFill>
                    <w14:schemeClr w14:val="tx1"/>
                  </w14:solidFill>
                </w14:textFill>
              </w:rPr>
              <w:t>6.2</w:t>
            </w:r>
          </w:p>
        </w:tc>
        <w:tc>
          <w:tcPr>
            <w:tcW w:w="1011"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14:textFill>
                  <w14:solidFill>
                    <w14:schemeClr w14:val="tx1"/>
                  </w14:solidFill>
                </w14:textFill>
              </w:rPr>
              <w:t>6.3</w:t>
            </w:r>
          </w:p>
        </w:tc>
        <w:tc>
          <w:tcPr>
            <w:tcW w:w="644" w:type="dxa"/>
            <w:shd w:val="clear" w:color="auto" w:fill="BFBFBF"/>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556" w:type="dxa"/>
            <w:shd w:val="pct25" w:color="auto" w:fill="auto"/>
            <w:vAlign w:val="center"/>
          </w:tcPr>
          <w:p>
            <w:pPr>
              <w:shd w:val="clear" w:color="auto" w:fill="C7DAF1" w:themeFill="text2" w:themeFillTint="32"/>
              <w:rPr>
                <w:color w:val="000000" w:themeColor="text1"/>
                <w:highlight w:val="none"/>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lang w:val="en-GB"/>
                <w14:textFill>
                  <w14:solidFill>
                    <w14:schemeClr w14:val="tx1"/>
                  </w14:solidFill>
                </w14:textFill>
              </w:rPr>
              <w:t>评价*)</w:t>
            </w:r>
          </w:p>
        </w:tc>
        <w:tc>
          <w:tcPr>
            <w:tcW w:w="533" w:type="dxa"/>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US" w:eastAsia="ja-JP"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642" w:type="dxa"/>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US" w:eastAsia="ja-JP"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31" w:type="dxa"/>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US" w:eastAsia="ja-JP"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638" w:type="dxa"/>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US" w:eastAsia="ja-JP"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41" w:type="dxa"/>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US" w:eastAsia="ja-JP"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41" w:type="dxa"/>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US" w:eastAsia="ja-JP"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40" w:type="dxa"/>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US" w:eastAsia="ja-JP"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41" w:type="dxa"/>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US" w:eastAsia="ja-JP"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560" w:type="dxa"/>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US" w:eastAsia="ja-JP"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1011" w:type="dxa"/>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US" w:eastAsia="ja-JP"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644" w:type="dxa"/>
            <w:shd w:val="clear" w:color="auto" w:fill="BFBFBF"/>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556" w:type="dxa"/>
            <w:shd w:val="pct25" w:color="auto" w:fill="auto"/>
            <w:vAlign w:val="center"/>
          </w:tcPr>
          <w:p>
            <w:pPr>
              <w:shd w:val="clear" w:color="auto" w:fill="C7DAF1" w:themeFill="text2" w:themeFillTint="32"/>
              <w:rPr>
                <w:color w:val="000000" w:themeColor="text1"/>
                <w:highlight w:val="none"/>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不符合数量</w:t>
            </w:r>
          </w:p>
        </w:tc>
        <w:tc>
          <w:tcPr>
            <w:tcW w:w="533" w:type="dxa"/>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642" w:type="dxa"/>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731" w:type="dxa"/>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638" w:type="dxa"/>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741" w:type="dxa"/>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741" w:type="dxa"/>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740" w:type="dxa"/>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741" w:type="dxa"/>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560" w:type="dxa"/>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1011" w:type="dxa"/>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644" w:type="dxa"/>
            <w:shd w:val="clear" w:color="auto" w:fill="BFBFBF"/>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556" w:type="dxa"/>
            <w:shd w:val="pct25" w:color="auto" w:fill="auto"/>
            <w:vAlign w:val="center"/>
          </w:tcPr>
          <w:p>
            <w:pPr>
              <w:shd w:val="clear" w:color="auto" w:fill="C7DAF1" w:themeFill="text2" w:themeFillTint="32"/>
              <w:rPr>
                <w:color w:val="000000" w:themeColor="text1"/>
                <w:highlight w:val="none"/>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lang w:val="en-GB"/>
                <w14:textFill>
                  <w14:solidFill>
                    <w14:schemeClr w14:val="tx1"/>
                  </w14:solidFill>
                </w14:textFill>
              </w:rPr>
              <w:t>标准条款</w:t>
            </w:r>
          </w:p>
        </w:tc>
        <w:tc>
          <w:tcPr>
            <w:tcW w:w="533"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14:textFill>
                  <w14:solidFill>
                    <w14:schemeClr w14:val="tx1"/>
                  </w14:solidFill>
                </w14:textFill>
              </w:rPr>
              <w:t>7.1</w:t>
            </w:r>
          </w:p>
        </w:tc>
        <w:tc>
          <w:tcPr>
            <w:tcW w:w="642"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14:textFill>
                  <w14:solidFill>
                    <w14:schemeClr w14:val="tx1"/>
                  </w14:solidFill>
                </w14:textFill>
              </w:rPr>
              <w:t>7.2</w:t>
            </w:r>
          </w:p>
        </w:tc>
        <w:tc>
          <w:tcPr>
            <w:tcW w:w="731"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14:textFill>
                  <w14:solidFill>
                    <w14:schemeClr w14:val="tx1"/>
                  </w14:solidFill>
                </w14:textFill>
              </w:rPr>
              <w:t>7.3</w:t>
            </w:r>
          </w:p>
        </w:tc>
        <w:tc>
          <w:tcPr>
            <w:tcW w:w="638"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14:textFill>
                  <w14:solidFill>
                    <w14:schemeClr w14:val="tx1"/>
                  </w14:solidFill>
                </w14:textFill>
              </w:rPr>
              <w:t>7.4</w:t>
            </w:r>
          </w:p>
        </w:tc>
        <w:tc>
          <w:tcPr>
            <w:tcW w:w="741"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14:textFill>
                  <w14:solidFill>
                    <w14:schemeClr w14:val="tx1"/>
                  </w14:solidFill>
                </w14:textFill>
              </w:rPr>
              <w:t>7.5</w:t>
            </w:r>
          </w:p>
        </w:tc>
        <w:tc>
          <w:tcPr>
            <w:tcW w:w="741"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14:textFill>
                  <w14:solidFill>
                    <w14:schemeClr w14:val="tx1"/>
                  </w14:solidFill>
                </w14:textFill>
              </w:rPr>
              <w:t>8.1</w:t>
            </w:r>
          </w:p>
        </w:tc>
        <w:tc>
          <w:tcPr>
            <w:tcW w:w="740"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14:textFill>
                  <w14:solidFill>
                    <w14:schemeClr w14:val="tx1"/>
                  </w14:solidFill>
                </w14:textFill>
              </w:rPr>
              <w:t>8.2</w:t>
            </w:r>
          </w:p>
        </w:tc>
        <w:tc>
          <w:tcPr>
            <w:tcW w:w="741"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14:textFill>
                  <w14:solidFill>
                    <w14:schemeClr w14:val="tx1"/>
                  </w14:solidFill>
                </w14:textFill>
              </w:rPr>
              <w:t>8.3</w:t>
            </w:r>
          </w:p>
        </w:tc>
        <w:tc>
          <w:tcPr>
            <w:tcW w:w="560"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14:textFill>
                  <w14:solidFill>
                    <w14:schemeClr w14:val="tx1"/>
                  </w14:solidFill>
                </w14:textFill>
              </w:rPr>
              <w:t>8.4</w:t>
            </w:r>
          </w:p>
        </w:tc>
        <w:tc>
          <w:tcPr>
            <w:tcW w:w="1011"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14:textFill>
                  <w14:solidFill>
                    <w14:schemeClr w14:val="tx1"/>
                  </w14:solidFill>
                </w14:textFill>
              </w:rPr>
              <w:t>8.5</w:t>
            </w:r>
          </w:p>
        </w:tc>
        <w:tc>
          <w:tcPr>
            <w:tcW w:w="644"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14:textFill>
                  <w14:solidFill>
                    <w14:schemeClr w14:val="tx1"/>
                  </w14:solidFill>
                </w14:textFill>
              </w:rPr>
              <w:t>8.6</w:t>
            </w:r>
          </w:p>
        </w:tc>
        <w:tc>
          <w:tcPr>
            <w:tcW w:w="556"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14:textFill>
                  <w14:solidFill>
                    <w14:schemeClr w14:val="tx1"/>
                  </w14:solidFill>
                </w14:textFill>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lang w:val="en-GB"/>
                <w14:textFill>
                  <w14:solidFill>
                    <w14:schemeClr w14:val="tx1"/>
                  </w14:solidFill>
                </w14:textFill>
              </w:rPr>
              <w:t>评价*)</w:t>
            </w:r>
          </w:p>
        </w:tc>
        <w:tc>
          <w:tcPr>
            <w:tcW w:w="533" w:type="dxa"/>
            <w:vAlign w:val="center"/>
          </w:tcPr>
          <w:p>
            <w:pPr>
              <w:shd w:val="clear" w:color="auto" w:fill="C7DAF1" w:themeFill="text2" w:themeFillTint="32"/>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642" w:type="dxa"/>
            <w:vAlign w:val="center"/>
          </w:tcPr>
          <w:p>
            <w:pPr>
              <w:shd w:val="clear" w:color="auto" w:fill="C7DAF1" w:themeFill="text2" w:themeFillTint="32"/>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31" w:type="dxa"/>
            <w:vAlign w:val="center"/>
          </w:tcPr>
          <w:p>
            <w:pPr>
              <w:shd w:val="clear" w:color="auto" w:fill="C7DAF1" w:themeFill="text2" w:themeFillTint="32"/>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638" w:type="dxa"/>
            <w:vAlign w:val="center"/>
          </w:tcPr>
          <w:p>
            <w:pPr>
              <w:shd w:val="clear" w:color="auto" w:fill="C7DAF1" w:themeFill="text2" w:themeFillTint="32"/>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41" w:type="dxa"/>
            <w:vAlign w:val="center"/>
          </w:tcPr>
          <w:p>
            <w:pPr>
              <w:shd w:val="clear" w:color="auto" w:fill="C7DAF1" w:themeFill="text2" w:themeFillTint="32"/>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41" w:type="dxa"/>
            <w:vAlign w:val="center"/>
          </w:tcPr>
          <w:p>
            <w:pPr>
              <w:shd w:val="clear" w:color="auto" w:fill="C7DAF1" w:themeFill="text2" w:themeFillTint="32"/>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40" w:type="dxa"/>
            <w:vAlign w:val="center"/>
          </w:tcPr>
          <w:p>
            <w:pPr>
              <w:shd w:val="clear" w:color="auto" w:fill="C7DAF1" w:themeFill="text2" w:themeFillTint="32"/>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41" w:type="dxa"/>
            <w:vAlign w:val="center"/>
          </w:tcPr>
          <w:p>
            <w:pPr>
              <w:shd w:val="clear" w:color="auto" w:fill="C7DAF1" w:themeFill="text2" w:themeFillTint="32"/>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560" w:type="dxa"/>
            <w:vAlign w:val="center"/>
          </w:tcPr>
          <w:p>
            <w:pPr>
              <w:shd w:val="clear" w:color="auto" w:fill="C7DAF1" w:themeFill="text2" w:themeFillTint="32"/>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1011" w:type="dxa"/>
            <w:vAlign w:val="center"/>
          </w:tcPr>
          <w:p>
            <w:pPr>
              <w:shd w:val="clear" w:color="auto" w:fill="C7DAF1" w:themeFill="text2" w:themeFillTint="32"/>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644" w:type="dxa"/>
            <w:vAlign w:val="center"/>
          </w:tcPr>
          <w:p>
            <w:pPr>
              <w:shd w:val="clear" w:color="auto" w:fill="C7DAF1" w:themeFill="text2" w:themeFillTint="32"/>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556" w:type="dxa"/>
            <w:vAlign w:val="center"/>
          </w:tcPr>
          <w:p>
            <w:pPr>
              <w:shd w:val="clear" w:color="auto" w:fill="C7DAF1" w:themeFill="text2" w:themeFillTint="32"/>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14:textFill>
                  <w14:solidFill>
                    <w14:schemeClr w14:val="tx1"/>
                  </w14:solidFill>
                </w14:textFill>
              </w:rPr>
              <w:t>不符合数量</w:t>
            </w:r>
          </w:p>
        </w:tc>
        <w:tc>
          <w:tcPr>
            <w:tcW w:w="533" w:type="dxa"/>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642" w:type="dxa"/>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731" w:type="dxa"/>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638" w:type="dxa"/>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741" w:type="dxa"/>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741" w:type="dxa"/>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740" w:type="dxa"/>
            <w:tcBorders>
              <w:bottom w:val="single" w:color="auto" w:sz="4" w:space="0"/>
            </w:tcBorders>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741" w:type="dxa"/>
            <w:tcBorders>
              <w:bottom w:val="single" w:color="auto" w:sz="4" w:space="0"/>
            </w:tcBorders>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560" w:type="dxa"/>
            <w:tcBorders>
              <w:bottom w:val="single" w:color="auto" w:sz="4" w:space="0"/>
            </w:tcBorders>
            <w:vAlign w:val="center"/>
          </w:tcPr>
          <w:p>
            <w:pPr>
              <w:shd w:val="clear" w:color="auto" w:fill="C7DAF1" w:themeFill="text2" w:themeFillTint="32"/>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bookmarkStart w:id="31" w:name="_GoBack"/>
            <w:bookmarkEnd w:id="31"/>
          </w:p>
        </w:tc>
        <w:tc>
          <w:tcPr>
            <w:tcW w:w="1011" w:type="dxa"/>
            <w:tcBorders>
              <w:bottom w:val="single" w:color="auto" w:sz="4" w:space="0"/>
            </w:tcBorders>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644" w:type="dxa"/>
            <w:tcBorders>
              <w:bottom w:val="single" w:color="auto" w:sz="4" w:space="0"/>
            </w:tcBorders>
            <w:vAlign w:val="center"/>
          </w:tcPr>
          <w:p>
            <w:pPr>
              <w:shd w:val="clear" w:color="auto" w:fill="C7DAF1" w:themeFill="text2" w:themeFillTint="32"/>
              <w:rPr>
                <w:rFonts w:hint="eastAsia" w:eastAsia="宋体"/>
                <w:color w:val="000000" w:themeColor="text1"/>
                <w:highlight w:val="none"/>
                <w:lang w:val="en-US" w:eastAsia="zh-CN"/>
                <w14:textFill>
                  <w14:solidFill>
                    <w14:schemeClr w14:val="tx1"/>
                  </w14:solidFill>
                </w14:textFill>
              </w:rPr>
            </w:pPr>
          </w:p>
        </w:tc>
        <w:tc>
          <w:tcPr>
            <w:tcW w:w="556" w:type="dxa"/>
            <w:tcBorders>
              <w:bottom w:val="single" w:color="auto" w:sz="4" w:space="0"/>
            </w:tcBorders>
            <w:vAlign w:val="center"/>
          </w:tcPr>
          <w:p>
            <w:pPr>
              <w:shd w:val="clear" w:color="auto" w:fill="C7DAF1" w:themeFill="text2" w:themeFillTint="32"/>
              <w:rPr>
                <w:color w:val="000000" w:themeColor="text1"/>
                <w:highlight w:val="none"/>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lang w:val="en-GB"/>
                <w14:textFill>
                  <w14:solidFill>
                    <w14:schemeClr w14:val="tx1"/>
                  </w14:solidFill>
                </w14:textFill>
              </w:rPr>
              <w:t>标准条款</w:t>
            </w:r>
          </w:p>
        </w:tc>
        <w:tc>
          <w:tcPr>
            <w:tcW w:w="533"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14:textFill>
                  <w14:solidFill>
                    <w14:schemeClr w14:val="tx1"/>
                  </w14:solidFill>
                </w14:textFill>
              </w:rPr>
              <w:t>9.1</w:t>
            </w:r>
          </w:p>
        </w:tc>
        <w:tc>
          <w:tcPr>
            <w:tcW w:w="642"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14:textFill>
                  <w14:solidFill>
                    <w14:schemeClr w14:val="tx1"/>
                  </w14:solidFill>
                </w14:textFill>
              </w:rPr>
              <w:t>9.2</w:t>
            </w:r>
          </w:p>
        </w:tc>
        <w:tc>
          <w:tcPr>
            <w:tcW w:w="731"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14:textFill>
                  <w14:solidFill>
                    <w14:schemeClr w14:val="tx1"/>
                  </w14:solidFill>
                </w14:textFill>
              </w:rPr>
              <w:t>9.3</w:t>
            </w:r>
          </w:p>
        </w:tc>
        <w:tc>
          <w:tcPr>
            <w:tcW w:w="638"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14:textFill>
                  <w14:solidFill>
                    <w14:schemeClr w14:val="tx1"/>
                  </w14:solidFill>
                </w14:textFill>
              </w:rPr>
              <w:t>10.1</w:t>
            </w:r>
          </w:p>
        </w:tc>
        <w:tc>
          <w:tcPr>
            <w:tcW w:w="741"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14:textFill>
                  <w14:solidFill>
                    <w14:schemeClr w14:val="tx1"/>
                  </w14:solidFill>
                </w14:textFill>
              </w:rPr>
              <w:t>10.2</w:t>
            </w:r>
          </w:p>
        </w:tc>
        <w:tc>
          <w:tcPr>
            <w:tcW w:w="741"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14:textFill>
                  <w14:solidFill>
                    <w14:schemeClr w14:val="tx1"/>
                  </w14:solidFill>
                </w14:textFill>
              </w:rPr>
              <w:t>10.3</w:t>
            </w:r>
          </w:p>
        </w:tc>
        <w:tc>
          <w:tcPr>
            <w:tcW w:w="740" w:type="dxa"/>
            <w:shd w:val="pct25" w:color="auto" w:fill="auto"/>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741" w:type="dxa"/>
            <w:shd w:val="pct25" w:color="auto" w:fill="auto"/>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560" w:type="dxa"/>
            <w:shd w:val="pct25" w:color="auto" w:fill="auto"/>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1011" w:type="dxa"/>
            <w:shd w:val="pct25" w:color="auto" w:fill="auto"/>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644" w:type="dxa"/>
            <w:shd w:val="pct25" w:color="auto" w:fill="auto"/>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556" w:type="dxa"/>
            <w:shd w:val="pct25" w:color="auto" w:fill="auto"/>
            <w:vAlign w:val="center"/>
          </w:tcPr>
          <w:p>
            <w:pPr>
              <w:shd w:val="clear" w:color="auto" w:fill="C7DAF1" w:themeFill="text2" w:themeFillTint="32"/>
              <w:rPr>
                <w:color w:val="000000" w:themeColor="text1"/>
                <w:highlight w:val="none"/>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lang w:val="en-GB"/>
                <w14:textFill>
                  <w14:solidFill>
                    <w14:schemeClr w14:val="tx1"/>
                  </w14:solidFill>
                </w14:textFill>
              </w:rPr>
              <w:t>评价*)</w:t>
            </w:r>
          </w:p>
        </w:tc>
        <w:tc>
          <w:tcPr>
            <w:tcW w:w="533" w:type="dxa"/>
            <w:vAlign w:val="center"/>
          </w:tcPr>
          <w:p>
            <w:pPr>
              <w:shd w:val="clear" w:color="auto" w:fill="C7DAF1" w:themeFill="text2" w:themeFillTint="32"/>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642" w:type="dxa"/>
            <w:vAlign w:val="center"/>
          </w:tcPr>
          <w:p>
            <w:pPr>
              <w:shd w:val="clear" w:color="auto" w:fill="C7DAF1" w:themeFill="text2" w:themeFillTint="32"/>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31" w:type="dxa"/>
            <w:vAlign w:val="center"/>
          </w:tcPr>
          <w:p>
            <w:pPr>
              <w:shd w:val="clear" w:color="auto" w:fill="C7DAF1" w:themeFill="text2" w:themeFillTint="32"/>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638" w:type="dxa"/>
            <w:vAlign w:val="center"/>
          </w:tcPr>
          <w:p>
            <w:pPr>
              <w:shd w:val="clear" w:color="auto" w:fill="C7DAF1" w:themeFill="text2" w:themeFillTint="32"/>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41" w:type="dxa"/>
            <w:vAlign w:val="center"/>
          </w:tcPr>
          <w:p>
            <w:pPr>
              <w:shd w:val="clear" w:color="auto" w:fill="C7DAF1" w:themeFill="text2" w:themeFillTint="32"/>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41" w:type="dxa"/>
            <w:vAlign w:val="center"/>
          </w:tcPr>
          <w:p>
            <w:pPr>
              <w:shd w:val="clear" w:color="auto" w:fill="C7DAF1" w:themeFill="text2" w:themeFillTint="32"/>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40" w:type="dxa"/>
            <w:shd w:val="pct25" w:color="auto" w:fill="auto"/>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741" w:type="dxa"/>
            <w:shd w:val="pct25" w:color="auto" w:fill="auto"/>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560" w:type="dxa"/>
            <w:shd w:val="pct25" w:color="auto" w:fill="auto"/>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1011" w:type="dxa"/>
            <w:shd w:val="pct25" w:color="auto" w:fill="auto"/>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644" w:type="dxa"/>
            <w:shd w:val="pct25" w:color="auto" w:fill="auto"/>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556" w:type="dxa"/>
            <w:shd w:val="pct25" w:color="auto" w:fill="auto"/>
            <w:vAlign w:val="center"/>
          </w:tcPr>
          <w:p>
            <w:pPr>
              <w:shd w:val="clear" w:color="auto" w:fill="C7DAF1" w:themeFill="text2" w:themeFillTint="32"/>
              <w:rPr>
                <w:color w:val="000000" w:themeColor="text1"/>
                <w:highlight w:val="none"/>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highlight w:val="none"/>
                <w:lang w:eastAsia="ja-JP"/>
                <w14:textFill>
                  <w14:solidFill>
                    <w14:schemeClr w14:val="tx1"/>
                  </w14:solidFill>
                </w14:textFill>
              </w:rPr>
            </w:pPr>
            <w:r>
              <w:rPr>
                <w:rFonts w:hint="eastAsia"/>
                <w:color w:val="000000" w:themeColor="text1"/>
                <w:highlight w:val="none"/>
                <w14:textFill>
                  <w14:solidFill>
                    <w14:schemeClr w14:val="tx1"/>
                  </w14:solidFill>
                </w14:textFill>
              </w:rPr>
              <w:t>不符合数量</w:t>
            </w:r>
          </w:p>
        </w:tc>
        <w:tc>
          <w:tcPr>
            <w:tcW w:w="533" w:type="dxa"/>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642" w:type="dxa"/>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731" w:type="dxa"/>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638" w:type="dxa"/>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741" w:type="dxa"/>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741" w:type="dxa"/>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740" w:type="dxa"/>
            <w:shd w:val="pct25" w:color="auto" w:fill="auto"/>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741" w:type="dxa"/>
            <w:shd w:val="pct25" w:color="auto" w:fill="auto"/>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560" w:type="dxa"/>
            <w:shd w:val="pct25" w:color="auto" w:fill="auto"/>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1011" w:type="dxa"/>
            <w:shd w:val="pct25" w:color="auto" w:fill="auto"/>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644" w:type="dxa"/>
            <w:shd w:val="pct25" w:color="auto" w:fill="auto"/>
            <w:vAlign w:val="center"/>
          </w:tcPr>
          <w:p>
            <w:pPr>
              <w:shd w:val="clear" w:color="auto" w:fill="C7DAF1" w:themeFill="text2" w:themeFillTint="32"/>
              <w:rPr>
                <w:color w:val="000000" w:themeColor="text1"/>
                <w:highlight w:val="none"/>
                <w:lang w:eastAsia="ja-JP"/>
                <w14:textFill>
                  <w14:solidFill>
                    <w14:schemeClr w14:val="tx1"/>
                  </w14:solidFill>
                </w14:textFill>
              </w:rPr>
            </w:pPr>
          </w:p>
        </w:tc>
        <w:tc>
          <w:tcPr>
            <w:tcW w:w="556" w:type="dxa"/>
            <w:shd w:val="pct25" w:color="auto" w:fill="auto"/>
            <w:vAlign w:val="center"/>
          </w:tcPr>
          <w:p>
            <w:pPr>
              <w:shd w:val="clear" w:color="auto" w:fill="C7DAF1" w:themeFill="text2" w:themeFillTint="32"/>
              <w:rPr>
                <w:color w:val="000000" w:themeColor="text1"/>
                <w:highlight w:val="none"/>
                <w:lang w:eastAsia="ja-JP"/>
                <w14:textFill>
                  <w14:solidFill>
                    <w14:schemeClr w14:val="tx1"/>
                  </w14:solidFill>
                </w14:textFill>
              </w:rPr>
            </w:pPr>
          </w:p>
        </w:tc>
      </w:tr>
    </w:tbl>
    <w:p>
      <w:pPr>
        <w:shd w:val="clear" w:color="auto" w:fill="C7DAF1" w:themeFill="text2" w:themeFillTint="32"/>
        <w:rPr>
          <w:highlight w:val="none"/>
        </w:rPr>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rPr>
          <w:rFonts w:ascii="Times New Roman" w:hAnsi="Times New Roman" w:eastAsia="宋体" w:cs="Times New Roman"/>
        </w:rPr>
      </w:pPr>
      <w:r>
        <w:tab/>
      </w:r>
      <w:r>
        <w:rPr>
          <w:rFonts w:ascii="Times New Roman" w:hAnsi="Times New Roman" w:eastAsia="宋体" w:cs="Times New Roman"/>
        </w:rPr>
        <w:tab/>
      </w:r>
      <w:r>
        <w:rPr>
          <w:rFonts w:ascii="Times New Roman" w:hAnsi="Times New Roman" w:eastAsia="宋体" w:cs="Times New Roman"/>
        </w:rPr>
        <w:t xml:space="preserve">3 =失效/不符合(参见不符合报告)  </w:t>
      </w:r>
    </w:p>
    <w:p>
      <w:pPr>
        <w:shd w:val="clear" w:color="auto" w:fill="C7DAF1" w:themeFill="text2" w:themeFillTint="32"/>
        <w:rPr>
          <w:rFonts w:ascii="Times New Roman" w:hAnsi="Times New Roman" w:eastAsia="宋体" w:cs="Times New Roman"/>
        </w:rPr>
      </w:pP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4 =不适用</w:t>
      </w:r>
    </w:p>
    <w:p>
      <w:pPr>
        <w:shd w:val="clear" w:color="auto" w:fill="C7DAF1" w:themeFill="text2" w:themeFillTint="32"/>
        <w:rPr>
          <w:rFonts w:ascii="Times New Roman" w:hAnsi="Times New Roman" w:eastAsia="宋体" w:cs="Times New Roman"/>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5"/>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7D5A3F"/>
    <w:rsid w:val="1848492B"/>
    <w:rsid w:val="194469A2"/>
    <w:rsid w:val="1A1B42C5"/>
    <w:rsid w:val="23A8750A"/>
    <w:rsid w:val="26876F91"/>
    <w:rsid w:val="30846AB2"/>
    <w:rsid w:val="31F63FAD"/>
    <w:rsid w:val="4399045C"/>
    <w:rsid w:val="4B342C45"/>
    <w:rsid w:val="528D1DE4"/>
    <w:rsid w:val="5887631E"/>
    <w:rsid w:val="5DF065CD"/>
    <w:rsid w:val="61082F92"/>
    <w:rsid w:val="612C1320"/>
    <w:rsid w:val="6275699A"/>
    <w:rsid w:val="6BDE4F76"/>
    <w:rsid w:val="72B37EA3"/>
    <w:rsid w:val="756173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paragraph" w:customStyle="1" w:styleId="13">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14">
    <w:name w:val="List Paragraph"/>
    <w:basedOn w:val="1"/>
    <w:qFormat/>
    <w:uiPriority w:val="34"/>
    <w:pPr>
      <w:ind w:firstLine="420" w:firstLineChars="200"/>
    </w:pPr>
  </w:style>
  <w:style w:type="character" w:customStyle="1" w:styleId="15">
    <w:name w:val="页眉 字符"/>
    <w:basedOn w:val="11"/>
    <w:link w:val="5"/>
    <w:qFormat/>
    <w:uiPriority w:val="99"/>
    <w:rPr>
      <w:rFonts w:ascii="Times New Roman" w:hAnsi="Times New Roman" w:eastAsia="宋体" w:cs="Times New Roman"/>
      <w:sz w:val="18"/>
      <w:szCs w:val="18"/>
    </w:rPr>
  </w:style>
  <w:style w:type="character" w:customStyle="1" w:styleId="16">
    <w:name w:val="页脚 字符"/>
    <w:basedOn w:val="11"/>
    <w:link w:val="4"/>
    <w:qFormat/>
    <w:uiPriority w:val="99"/>
    <w:rPr>
      <w:rFonts w:ascii="Times New Roman" w:hAnsi="Times New Roman" w:eastAsia="宋体" w:cs="Times New Roman"/>
      <w:sz w:val="18"/>
      <w:szCs w:val="18"/>
    </w:rPr>
  </w:style>
  <w:style w:type="character" w:customStyle="1" w:styleId="17">
    <w:name w:val="批注框文本 字符"/>
    <w:basedOn w:val="11"/>
    <w:link w:val="3"/>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0</TotalTime>
  <ScaleCrop>false</ScaleCrop>
  <LinksUpToDate>false</LinksUpToDate>
  <CharactersWithSpaces>25256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zx</cp:lastModifiedBy>
  <cp:lastPrinted>2019-05-13T03:19:00Z</cp:lastPrinted>
  <dcterms:modified xsi:type="dcterms:W3CDTF">2021-10-11T07:31:10Z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