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北京地伟图新科技有限公司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李雅静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于立秋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技术服务实现流程：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情况调查、客户沟通--分析汇总、决策---进入项目跟踪阶段---进入投标报价阶段--如中标--与产品厂家确认供货周期、交付等--签订销售合同</w:t>
            </w:r>
            <w:r>
              <w:rPr>
                <w:color w:val="000000" w:themeColor="text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Cs w:val="21"/>
              </w:rPr>
              <w:t>采购产品</w:t>
            </w:r>
            <w:r>
              <w:rPr>
                <w:color w:val="000000" w:themeColor="text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Cs w:val="21"/>
              </w:rPr>
              <w:t>双方验收---进行现场技术服务及技术改造--产品交付、验收--客户接收确认</w:t>
            </w:r>
          </w:p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风机蓄能器充氮</w:t>
            </w:r>
            <w:r>
              <w:rPr>
                <w:rFonts w:hint="eastAsia"/>
                <w:color w:val="000000" w:themeColor="text1"/>
                <w:szCs w:val="21"/>
              </w:rPr>
              <w:t>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人员进入风电场-安全交底-安全培训-联系采购物资进厂-现场施工（充氮气）-客户验收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风机蓄能器充氮</w:t>
            </w:r>
            <w:r>
              <w:rPr>
                <w:rFonts w:hint="eastAsia"/>
                <w:color w:val="000000" w:themeColor="text1"/>
                <w:szCs w:val="21"/>
              </w:rPr>
              <w:t>服务过程为需确认的过程。</w:t>
            </w:r>
          </w:p>
          <w:p>
            <w:pPr>
              <w:snapToGrid w:val="0"/>
              <w:spacing w:line="60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不可接受风险：火灾、触电、机械伤害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firstLine="48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供的“环境因素识别评价表”“重要环境因素清单”， 评价考虑了三种时态现在、过去、将来、三种状态、异常、正常、紧急考虑了法律法规，并进行了评价，识别</w:t>
            </w:r>
            <w:r>
              <w:rPr>
                <w:rFonts w:hint="eastAsia"/>
                <w:color w:val="auto"/>
                <w:sz w:val="20"/>
                <w:lang w:eastAsia="zh-CN"/>
              </w:rPr>
              <w:t>技术</w:t>
            </w:r>
            <w:r>
              <w:rPr>
                <w:rFonts w:hint="eastAsia"/>
                <w:color w:val="auto"/>
                <w:sz w:val="20"/>
              </w:rPr>
              <w:t>管理</w:t>
            </w:r>
            <w:r>
              <w:rPr>
                <w:rFonts w:hint="eastAsia"/>
                <w:color w:val="auto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项：固废排放、火灾，评价符合程序要求及公司的实际情况。</w:t>
            </w:r>
          </w:p>
          <w:p>
            <w:pPr>
              <w:ind w:firstLine="480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pacing w:line="276" w:lineRule="auto"/>
              <w:ind w:left="160" w:leftChars="0"/>
              <w:rPr>
                <w:rFonts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600" w:lineRule="auto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楷体" w:asciiTheme="minorEastAsia" w:hAnsiTheme="minorEastAsia" w:eastAsiaTheme="minorEastAsia"/>
                <w:sz w:val="21"/>
                <w:szCs w:val="21"/>
              </w:rPr>
              <w:t>不可接受风险：火灾、触电、机械伤害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GB/T3864-2008氮气标准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顾客及合同要求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定期对服务进行检查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0B53CA"/>
    <w:rsid w:val="28335DE7"/>
    <w:rsid w:val="3E381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2021-10-12T06:25:32Z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