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北京地伟图新科技有限公司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朱晓丽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36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技术服务实现流程：</w:t>
            </w:r>
          </w:p>
          <w:p>
            <w:pPr>
              <w:spacing w:line="36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情况调查、客户沟通--分析汇总、决策---进入项目跟踪阶段---进入投标报价阶段--如中标--与产品厂家确认供货周期、交付等--签订销售合同</w:t>
            </w:r>
            <w:r>
              <w:rPr>
                <w:color w:val="000000" w:themeColor="text1"/>
                <w:szCs w:val="21"/>
              </w:rPr>
              <w:t>—</w:t>
            </w:r>
            <w:r>
              <w:rPr>
                <w:rFonts w:hint="eastAsia"/>
                <w:color w:val="000000" w:themeColor="text1"/>
                <w:szCs w:val="21"/>
              </w:rPr>
              <w:t>采购产品</w:t>
            </w:r>
            <w:r>
              <w:rPr>
                <w:color w:val="000000" w:themeColor="text1"/>
                <w:szCs w:val="21"/>
              </w:rPr>
              <w:t>—</w:t>
            </w:r>
            <w:r>
              <w:rPr>
                <w:rFonts w:hint="eastAsia"/>
                <w:color w:val="000000" w:themeColor="text1"/>
                <w:szCs w:val="21"/>
              </w:rPr>
              <w:t>双方验收---进行现场技术服务及技术改造--产品交付、验收--客户接收确认</w:t>
            </w:r>
          </w:p>
          <w:p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风机蓄能器充氮</w:t>
            </w:r>
            <w:r>
              <w:rPr>
                <w:rFonts w:hint="eastAsia"/>
                <w:color w:val="000000" w:themeColor="text1"/>
                <w:szCs w:val="21"/>
              </w:rPr>
              <w:t>服务流程：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color w:val="000000" w:themeColor="text1"/>
                <w:szCs w:val="21"/>
              </w:rPr>
              <w:t>人员进入风电场-安全交底-安全培训-联系采购物资进厂-现场施工（充氮气）-客户验收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风机蓄能器充氮</w:t>
            </w:r>
            <w:r>
              <w:rPr>
                <w:rFonts w:hint="eastAsia"/>
                <w:color w:val="000000" w:themeColor="text1"/>
                <w:szCs w:val="21"/>
              </w:rPr>
              <w:t>服务过程为需确认的过程。</w:t>
            </w:r>
          </w:p>
          <w:p>
            <w:pPr>
              <w:snapToGrid w:val="0"/>
              <w:spacing w:line="600" w:lineRule="auto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不可接受风险：火灾、触电、机械伤害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ind w:firstLine="480" w:firstLineChars="2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供的“环境因素识别评价表”“重要环境因素清单”， 评价考虑了三种时态现在、过去、将来、三种状态、异常、正常、紧急考虑了法律法规，并进行了评价，识别</w:t>
            </w:r>
            <w:r>
              <w:rPr>
                <w:rFonts w:hint="eastAsia"/>
                <w:color w:val="auto"/>
                <w:sz w:val="20"/>
                <w:lang w:eastAsia="zh-CN"/>
              </w:rPr>
              <w:t>技术</w:t>
            </w:r>
            <w:r>
              <w:rPr>
                <w:rFonts w:hint="eastAsia"/>
                <w:color w:val="auto"/>
                <w:sz w:val="20"/>
              </w:rPr>
              <w:t>管理</w:t>
            </w:r>
            <w:r>
              <w:rPr>
                <w:rFonts w:hint="eastAsia"/>
                <w:color w:val="auto"/>
                <w:szCs w:val="21"/>
              </w:rPr>
              <w:t>过程，用打分法考虑了法规符合性、发生频次、影响范围等, 通过定性判断法，共识别出重大环境因素</w:t>
            </w:r>
            <w:r>
              <w:rPr>
                <w:color w:val="auto"/>
                <w:szCs w:val="21"/>
              </w:rPr>
              <w:t>2</w:t>
            </w:r>
            <w:r>
              <w:rPr>
                <w:rFonts w:hint="eastAsia"/>
                <w:color w:val="auto"/>
                <w:szCs w:val="21"/>
              </w:rPr>
              <w:t>项：固废排放、火灾，评价符合程序要求及公司的实际情况。</w:t>
            </w:r>
          </w:p>
          <w:p>
            <w:pPr>
              <w:ind w:firstLine="480" w:firstLineChars="20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对重要环境因素的控制措施包括制定管理制度、监督检查、应急预案、培训等。提供《重要环境因素识别清单》，其中综合办涉及的重要环境因素：固废排放、意外火灾的发生，评价基本合理。</w:t>
            </w:r>
          </w:p>
          <w:p>
            <w:pPr>
              <w:spacing w:line="276" w:lineRule="auto"/>
              <w:rPr>
                <w:rFonts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600" w:lineRule="auto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楷体" w:asciiTheme="minorEastAsia" w:hAnsiTheme="minorEastAsia" w:eastAsiaTheme="minorEastAsia"/>
                <w:sz w:val="21"/>
                <w:szCs w:val="21"/>
              </w:rPr>
              <w:t>不可接受风险：火灾、触电、机械伤害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  <w:bookmarkStart w:id="10" w:name="_GoBack"/>
            <w:bookmarkEnd w:id="1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GB/T3864-2008氮气标准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</w:rPr>
              <w:t>顾客及合同要求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定期对服务进行检查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李京田</w:t>
            </w:r>
            <w:bookmarkEnd w:id="9"/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C5D4244"/>
    <w:rsid w:val="3E3816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2021-10-12T06:26:03Z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