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0550-2020-H-2021</w:t>
      </w:r>
      <w:bookmarkEnd w:id="0"/>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459"/>
        <w:gridCol w:w="1581"/>
        <w:gridCol w:w="1283"/>
        <w:gridCol w:w="87"/>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eastAsia="隶书"/>
                <w:b/>
                <w:color w:val="000000" w:themeColor="text1"/>
                <w:sz w:val="22"/>
                <w:szCs w:val="22"/>
                <w:vertAlign w:val="baseline"/>
                <w:lang w:val="en-US" w:eastAsia="zh-CN"/>
              </w:rPr>
            </w:pPr>
            <w:r>
              <w:rPr>
                <w:rFonts w:hint="eastAsia" w:ascii="Times New Roman" w:hAnsi="Times New Roman" w:eastAsia="宋体" w:cs="Times New Roman"/>
                <w:kern w:val="2"/>
                <w:sz w:val="22"/>
                <w:szCs w:val="22"/>
                <w:lang w:val="en-US" w:eastAsia="zh-CN" w:bidi="ar-SA"/>
              </w:rPr>
              <w:t>受审核方</w:t>
            </w:r>
            <w:r>
              <w:rPr>
                <w:rFonts w:hint="eastAsia" w:cs="Times New Roman"/>
                <w:kern w:val="2"/>
                <w:sz w:val="22"/>
                <w:szCs w:val="22"/>
                <w:lang w:val="en-US" w:eastAsia="zh-CN" w:bidi="ar-SA"/>
              </w:rPr>
              <w:t>名称</w:t>
            </w:r>
          </w:p>
        </w:tc>
        <w:tc>
          <w:tcPr>
            <w:tcW w:w="5040" w:type="dxa"/>
            <w:gridSpan w:val="2"/>
          </w:tcPr>
          <w:p>
            <w:pPr>
              <w:snapToGrid w:val="0"/>
              <w:spacing w:line="0" w:lineRule="atLeast"/>
              <w:jc w:val="center"/>
              <w:rPr>
                <w:rFonts w:hint="eastAsia" w:eastAsia="隶书"/>
                <w:b/>
                <w:color w:val="000000" w:themeColor="text1"/>
                <w:sz w:val="22"/>
                <w:szCs w:val="22"/>
                <w:vertAlign w:val="baseline"/>
              </w:rPr>
            </w:pPr>
            <w:bookmarkStart w:id="1" w:name="组织名称"/>
            <w:r>
              <w:rPr>
                <w:rFonts w:hint="eastAsia" w:eastAsia="隶书"/>
                <w:b/>
                <w:color w:val="000000" w:themeColor="text1"/>
                <w:sz w:val="22"/>
                <w:szCs w:val="22"/>
                <w:vertAlign w:val="baseline"/>
              </w:rPr>
              <w:t>浙江伟达粮油有限公司</w:t>
            </w:r>
            <w:bookmarkEnd w:id="1"/>
          </w:p>
        </w:tc>
        <w:tc>
          <w:tcPr>
            <w:tcW w:w="1283" w:type="dxa"/>
          </w:tcPr>
          <w:p>
            <w:pPr>
              <w:snapToGrid w:val="0"/>
              <w:spacing w:line="0" w:lineRule="atLeast"/>
              <w:jc w:val="center"/>
              <w:rPr>
                <w:rFonts w:hint="eastAsia" w:eastAsia="隶书"/>
                <w:b/>
                <w:color w:val="000000" w:themeColor="text1"/>
                <w:sz w:val="22"/>
                <w:szCs w:val="22"/>
                <w:vertAlign w:val="baseline"/>
              </w:rPr>
            </w:pPr>
            <w:r>
              <w:rPr>
                <w:rFonts w:hint="eastAsia"/>
                <w:sz w:val="22"/>
                <w:szCs w:val="22"/>
                <w:lang w:val="en-US" w:eastAsia="zh-CN"/>
              </w:rPr>
              <w:t>审核组长</w:t>
            </w:r>
          </w:p>
        </w:tc>
        <w:tc>
          <w:tcPr>
            <w:tcW w:w="2063" w:type="dxa"/>
            <w:gridSpan w:val="2"/>
          </w:tcPr>
          <w:p>
            <w:pPr>
              <w:snapToGrid w:val="0"/>
              <w:spacing w:line="0" w:lineRule="atLeast"/>
              <w:jc w:val="center"/>
              <w:rPr>
                <w:rFonts w:hint="eastAsia" w:eastAsia="隶书"/>
                <w:b/>
                <w:color w:val="000000" w:themeColor="text1"/>
                <w:sz w:val="22"/>
                <w:szCs w:val="22"/>
                <w:vertAlign w:val="baseline"/>
              </w:rPr>
            </w:pPr>
            <w:bookmarkStart w:id="2" w:name="总组长"/>
            <w:r>
              <w:rPr>
                <w:rFonts w:hint="eastAsia" w:eastAsia="隶书"/>
                <w:b/>
                <w:color w:val="000000" w:themeColor="text1"/>
                <w:sz w:val="22"/>
                <w:szCs w:val="22"/>
                <w:vertAlign w:val="baseline"/>
              </w:rPr>
              <w:t>肖新龙</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2"/>
          </w:tcPr>
          <w:p>
            <w:pPr>
              <w:snapToGrid w:val="0"/>
              <w:spacing w:line="0" w:lineRule="atLeast"/>
              <w:jc w:val="center"/>
              <w:rPr>
                <w:rFonts w:hint="eastAsia"/>
                <w:sz w:val="22"/>
                <w:szCs w:val="22"/>
                <w:lang w:val="en-US" w:eastAsia="zh-CN"/>
              </w:rPr>
            </w:pPr>
          </w:p>
        </w:tc>
        <w:tc>
          <w:tcPr>
            <w:tcW w:w="1283"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2063" w:type="dxa"/>
            <w:gridSpan w:val="2"/>
          </w:tcPr>
          <w:p>
            <w:pPr>
              <w:snapToGrid w:val="0"/>
              <w:spacing w:line="0" w:lineRule="atLeast"/>
              <w:jc w:val="center"/>
              <w:rPr>
                <w:rFonts w:hint="eastAsia"/>
                <w:sz w:val="22"/>
                <w:szCs w:val="22"/>
                <w:lang w:val="en-US" w:eastAsia="zh-CN"/>
              </w:rPr>
            </w:pPr>
            <w:bookmarkStart w:id="3" w:name="证书编号"/>
            <w:r>
              <w:rPr>
                <w:rFonts w:hint="eastAsia"/>
                <w:sz w:val="22"/>
                <w:szCs w:val="22"/>
                <w:lang w:val="en-US" w:eastAsia="zh-CN"/>
              </w:rPr>
              <w:t>197HACCP2000014</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2"/>
          </w:tcPr>
          <w:p>
            <w:pPr>
              <w:snapToGrid w:val="0"/>
              <w:spacing w:line="0" w:lineRule="atLeast"/>
              <w:jc w:val="center"/>
              <w:rPr>
                <w:rFonts w:hint="eastAsia"/>
                <w:sz w:val="22"/>
                <w:szCs w:val="22"/>
                <w:lang w:val="en-US" w:eastAsia="zh-CN"/>
              </w:rPr>
            </w:pPr>
            <w:bookmarkStart w:id="4" w:name="机构代码"/>
            <w:r>
              <w:rPr>
                <w:rFonts w:hint="eastAsia"/>
                <w:sz w:val="22"/>
                <w:szCs w:val="22"/>
                <w:lang w:val="en-US" w:eastAsia="zh-CN"/>
              </w:rPr>
              <w:t>91330701747738513K</w:t>
            </w:r>
            <w:bookmarkEnd w:id="4"/>
          </w:p>
        </w:tc>
        <w:tc>
          <w:tcPr>
            <w:tcW w:w="1283"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2063" w:type="dxa"/>
            <w:gridSpan w:val="2"/>
          </w:tcPr>
          <w:p>
            <w:pPr>
              <w:snapToGrid w:val="0"/>
              <w:spacing w:line="0" w:lineRule="atLeast"/>
              <w:jc w:val="both"/>
              <w:rPr>
                <w:rFonts w:hint="default"/>
                <w:sz w:val="22"/>
                <w:szCs w:val="22"/>
                <w:lang w:val="en-US" w:eastAsia="zh-CN"/>
              </w:rPr>
            </w:pPr>
            <w:r>
              <w:rPr>
                <w:rFonts w:hint="eastAsia"/>
                <w:sz w:val="22"/>
                <w:szCs w:val="22"/>
                <w:lang w:val="en-US" w:eastAsia="zh-CN"/>
              </w:rPr>
              <w:sym w:font="Wingdings 2" w:char="00A3"/>
            </w:r>
            <w:r>
              <w:rPr>
                <w:rFonts w:hint="eastAsia"/>
                <w:sz w:val="22"/>
                <w:szCs w:val="22"/>
                <w:lang w:val="en-US" w:eastAsia="zh-CN"/>
              </w:rPr>
              <w:t xml:space="preserve">带标  </w:t>
            </w:r>
            <w:r>
              <w:rPr>
                <w:rFonts w:hint="eastAsia"/>
                <w:sz w:val="22"/>
                <w:szCs w:val="22"/>
                <w:lang w:val="en-US" w:eastAsia="zh-CN"/>
              </w:rPr>
              <w:sym w:font="Wingdings 2" w:char="00A3"/>
            </w:r>
            <w:r>
              <w:rPr>
                <w:rFonts w:hint="eastAsia"/>
                <w:sz w:val="22"/>
                <w:szCs w:val="22"/>
                <w:lang w:val="en-US" w:eastAsia="zh-CN"/>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2"/>
          </w:tcPr>
          <w:p>
            <w:pPr>
              <w:snapToGrid w:val="0"/>
              <w:spacing w:line="0" w:lineRule="atLeast"/>
              <w:jc w:val="left"/>
              <w:rPr>
                <w:rFonts w:hint="eastAsia"/>
                <w:sz w:val="22"/>
                <w:szCs w:val="22"/>
                <w:lang w:val="en-US" w:eastAsia="zh-CN"/>
              </w:rPr>
            </w:pPr>
            <w:r>
              <w:rPr>
                <w:rFonts w:hint="eastAsia"/>
                <w:sz w:val="22"/>
                <w:szCs w:val="22"/>
                <w:lang w:val="en-US" w:eastAsia="zh-CN"/>
              </w:rPr>
              <w:sym w:font="Wingdings 2" w:char="00A3"/>
            </w:r>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5" w:name="QJ勾选"/>
            <w:r>
              <w:rPr>
                <w:rFonts w:hint="eastAsia"/>
                <w:sz w:val="22"/>
                <w:szCs w:val="22"/>
                <w:lang w:val="en-US" w:eastAsia="zh-CN"/>
              </w:rPr>
              <w:t>□</w:t>
            </w:r>
            <w:bookmarkEnd w:id="5"/>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6" w:name="E勾选"/>
            <w:r>
              <w:rPr>
                <w:rFonts w:hint="eastAsia"/>
                <w:sz w:val="22"/>
                <w:szCs w:val="22"/>
                <w:lang w:val="en-US" w:eastAsia="zh-CN"/>
              </w:rPr>
              <w:t>□</w:t>
            </w:r>
            <w:bookmarkEnd w:id="6"/>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7" w:name="S勾选"/>
            <w:r>
              <w:rPr>
                <w:rFonts w:hint="eastAsia"/>
                <w:sz w:val="22"/>
                <w:szCs w:val="22"/>
                <w:lang w:val="en-US" w:eastAsia="zh-CN"/>
              </w:rPr>
              <w:t>□</w:t>
            </w:r>
            <w:bookmarkEnd w:id="7"/>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8" w:name="EnMS勾选"/>
            <w:r>
              <w:rPr>
                <w:rFonts w:hint="eastAsia"/>
                <w:sz w:val="22"/>
                <w:szCs w:val="22"/>
                <w:lang w:val="en-US" w:eastAsia="zh-CN"/>
              </w:rPr>
              <w:t>□</w:t>
            </w:r>
            <w:bookmarkEnd w:id="8"/>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9" w:name="F勾选"/>
            <w:r>
              <w:rPr>
                <w:rFonts w:hint="eastAsia"/>
                <w:sz w:val="22"/>
                <w:szCs w:val="22"/>
                <w:lang w:val="en-US" w:eastAsia="zh-CN"/>
              </w:rPr>
              <w:t>□</w:t>
            </w:r>
            <w:bookmarkEnd w:id="9"/>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0" w:name="H勾选"/>
            <w:r>
              <w:rPr>
                <w:rFonts w:hint="eastAsia"/>
                <w:sz w:val="22"/>
                <w:szCs w:val="22"/>
                <w:lang w:val="en-US" w:eastAsia="zh-CN"/>
              </w:rPr>
              <w:t>■</w:t>
            </w:r>
            <w:bookmarkEnd w:id="10"/>
            <w:r>
              <w:rPr>
                <w:rFonts w:hint="eastAsia"/>
                <w:sz w:val="22"/>
                <w:szCs w:val="22"/>
                <w:lang w:val="en-US" w:eastAsia="zh-CN"/>
              </w:rPr>
              <w:t>GB/T 27341-2009&amp;GB 14881-2013&amp;危害分析与关键控制点（HACCP体系）认证补充要求 1.0</w:t>
            </w:r>
          </w:p>
        </w:tc>
        <w:tc>
          <w:tcPr>
            <w:tcW w:w="1283"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2063" w:type="dxa"/>
            <w:gridSpan w:val="2"/>
          </w:tcPr>
          <w:p>
            <w:pPr>
              <w:snapToGrid w:val="0"/>
              <w:spacing w:line="0" w:lineRule="atLeast"/>
              <w:jc w:val="center"/>
              <w:rPr>
                <w:rFonts w:hint="eastAsia"/>
                <w:sz w:val="22"/>
                <w:szCs w:val="22"/>
                <w:lang w:val="en-US" w:eastAsia="zh-CN"/>
              </w:rPr>
            </w:pPr>
            <w:bookmarkStart w:id="11" w:name="体系人数"/>
            <w:r>
              <w:rPr>
                <w:rFonts w:hint="eastAsia"/>
                <w:sz w:val="22"/>
                <w:szCs w:val="22"/>
                <w:lang w:val="en-US" w:eastAsia="zh-CN"/>
              </w:rPr>
              <w:t>45</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2"/>
              <w:spacing w:line="400" w:lineRule="exact"/>
              <w:ind w:firstLine="0"/>
              <w:rPr>
                <w:rFonts w:hint="eastAsia"/>
                <w:sz w:val="22"/>
                <w:szCs w:val="22"/>
                <w:lang w:val="en-US" w:eastAsia="zh-CN"/>
              </w:rPr>
            </w:pPr>
            <w:bookmarkStart w:id="12" w:name="初审"/>
            <w:r>
              <w:rPr>
                <w:rFonts w:hint="eastAsia"/>
                <w:b/>
                <w:color w:val="000000" w:themeColor="text1"/>
                <w:spacing w:val="-2"/>
                <w:sz w:val="21"/>
                <w:szCs w:val="21"/>
              </w:rPr>
              <w:t>□</w:t>
            </w:r>
            <w:bookmarkEnd w:id="12"/>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3" w:name="监督勾选"/>
            <w:r>
              <w:rPr>
                <w:rFonts w:hint="eastAsia"/>
                <w:b/>
                <w:color w:val="000000" w:themeColor="text1"/>
                <w:spacing w:val="-2"/>
                <w:sz w:val="21"/>
                <w:szCs w:val="21"/>
              </w:rPr>
              <w:t>■</w:t>
            </w:r>
            <w:bookmarkEnd w:id="13"/>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4" w:name="再认证勾选"/>
            <w:r>
              <w:rPr>
                <w:rFonts w:hint="eastAsia"/>
                <w:b/>
                <w:color w:val="000000" w:themeColor="text1"/>
                <w:spacing w:val="-2"/>
                <w:sz w:val="21"/>
                <w:szCs w:val="21"/>
              </w:rPr>
              <w:t>□</w:t>
            </w:r>
            <w:bookmarkEnd w:id="14"/>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5" w:name="特殊审核勾选"/>
            <w:r>
              <w:rPr>
                <w:rFonts w:hint="eastAsia"/>
                <w:b/>
                <w:color w:val="000000" w:themeColor="text1"/>
                <w:spacing w:val="-2"/>
                <w:sz w:val="21"/>
                <w:szCs w:val="21"/>
                <w:lang w:val="en-US" w:eastAsia="zh-CN"/>
              </w:rPr>
              <w:t>□</w:t>
            </w:r>
            <w:bookmarkEnd w:id="15"/>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2"/>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sym w:font="Wingdings 2" w:char="0052"/>
            </w:r>
            <w:r>
              <w:rPr>
                <w:rFonts w:hint="eastAsia"/>
                <w:b/>
                <w:color w:val="000000" w:themeColor="text1"/>
                <w:sz w:val="22"/>
                <w:szCs w:val="22"/>
              </w:rPr>
              <w:t>认证范围变更（□扩大</w:t>
            </w:r>
            <w:r>
              <w:rPr>
                <w:rFonts w:hint="eastAsia"/>
                <w:b/>
                <w:color w:val="000000" w:themeColor="text1"/>
                <w:sz w:val="22"/>
                <w:szCs w:val="22"/>
                <w:lang w:val="en-US" w:eastAsia="zh-CN"/>
              </w:rPr>
              <w:t xml:space="preserve">  </w:t>
            </w:r>
            <w:r>
              <w:rPr>
                <w:rFonts w:hint="eastAsia"/>
                <w:b/>
                <w:color w:val="000000" w:themeColor="text1"/>
                <w:sz w:val="22"/>
                <w:szCs w:val="22"/>
              </w:rPr>
              <w:sym w:font="Wingdings 2" w:char="0052"/>
            </w:r>
            <w:r>
              <w:rPr>
                <w:rFonts w:hint="eastAsia"/>
                <w:b/>
                <w:color w:val="000000" w:themeColor="text1"/>
                <w:sz w:val="22"/>
                <w:szCs w:val="22"/>
              </w:rPr>
              <w:t>缩小</w:t>
            </w:r>
            <w:r>
              <w:rPr>
                <w:rFonts w:hint="eastAsia"/>
                <w:b/>
                <w:color w:val="000000" w:themeColor="text1"/>
                <w:sz w:val="22"/>
                <w:szCs w:val="22"/>
                <w:lang w:val="en-US" w:eastAsia="zh-CN"/>
              </w:rPr>
              <w:t xml:space="preserve"> </w:t>
            </w:r>
            <w:r>
              <w:rPr>
                <w:rFonts w:hint="eastAsia"/>
                <w:b/>
                <w:color w:val="000000" w:themeColor="text1"/>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459"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中文公司名称及地址</w:t>
            </w:r>
          </w:p>
        </w:tc>
        <w:tc>
          <w:tcPr>
            <w:tcW w:w="4927" w:type="dxa"/>
            <w:gridSpan w:val="4"/>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公司名称</w:t>
            </w:r>
          </w:p>
        </w:tc>
        <w:tc>
          <w:tcPr>
            <w:tcW w:w="3459" w:type="dxa"/>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bookmarkStart w:id="16" w:name="组织名称Add1"/>
            <w:r>
              <w:rPr>
                <w:rFonts w:hint="eastAsia" w:ascii="Times New Roman" w:hAnsi="Times New Roman" w:eastAsia="宋体" w:cs="Times New Roman"/>
                <w:b w:val="0"/>
                <w:kern w:val="2"/>
                <w:sz w:val="22"/>
                <w:szCs w:val="22"/>
                <w:lang w:val="en-US" w:eastAsia="zh-CN" w:bidi="ar-SA"/>
              </w:rPr>
              <w:t>浙江伟达粮油有限公司</w:t>
            </w:r>
            <w:bookmarkEnd w:id="16"/>
          </w:p>
        </w:tc>
        <w:tc>
          <w:tcPr>
            <w:tcW w:w="4927" w:type="dxa"/>
            <w:gridSpan w:val="4"/>
            <w:vMerge w:val="restart"/>
          </w:tcPr>
          <w:p>
            <w:pPr>
              <w:snapToGrid w:val="0"/>
              <w:spacing w:line="0" w:lineRule="atLeast"/>
              <w:jc w:val="left"/>
              <w:rPr>
                <w:rFonts w:hint="eastAsia" w:cs="Times New Roman"/>
                <w:b w:val="0"/>
                <w:kern w:val="2"/>
                <w:sz w:val="22"/>
                <w:szCs w:val="22"/>
                <w:lang w:val="en-US" w:eastAsia="zh-CN" w:bidi="ar-SA"/>
              </w:rPr>
            </w:pPr>
            <w:bookmarkStart w:id="17" w:name="审核范围"/>
            <w:r>
              <w:rPr>
                <w:rFonts w:hint="eastAsia" w:cs="Times New Roman"/>
                <w:b w:val="0"/>
                <w:kern w:val="2"/>
                <w:sz w:val="22"/>
                <w:szCs w:val="22"/>
                <w:lang w:val="en-US" w:eastAsia="zh-CN" w:bidi="ar-SA"/>
              </w:rPr>
              <w:t>H：位于</w:t>
            </w:r>
            <w:r>
              <w:rPr>
                <w:rFonts w:hint="eastAsia" w:eastAsia="宋体" w:cs="Times New Roman"/>
                <w:b w:val="0"/>
                <w:kern w:val="2"/>
                <w:sz w:val="22"/>
                <w:szCs w:val="22"/>
                <w:lang w:val="en-US" w:eastAsia="zh-CN" w:bidi="ar-SA"/>
              </w:rPr>
              <w:t>浙江省金华市婺城区秋滨街道琅峰街469号</w:t>
            </w:r>
            <w:r>
              <w:rPr>
                <w:rFonts w:hint="eastAsia" w:cs="Times New Roman"/>
                <w:b w:val="0"/>
                <w:kern w:val="2"/>
                <w:sz w:val="22"/>
                <w:szCs w:val="22"/>
                <w:lang w:val="en-US" w:eastAsia="zh-CN" w:bidi="ar-SA"/>
              </w:rPr>
              <w:t>食品车间的速冻面米食品[熟制品(速冻包子、速冻馒头）]的生产</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注册地址</w:t>
            </w:r>
          </w:p>
        </w:tc>
        <w:tc>
          <w:tcPr>
            <w:tcW w:w="3459"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8" w:name="注册地址"/>
            <w:r>
              <w:rPr>
                <w:rFonts w:hint="eastAsia" w:ascii="Times New Roman" w:hAnsi="Times New Roman" w:eastAsia="宋体" w:cs="Times New Roman"/>
                <w:b w:val="0"/>
                <w:kern w:val="2"/>
                <w:sz w:val="22"/>
                <w:szCs w:val="22"/>
                <w:lang w:val="en-GB" w:eastAsia="zh-CN" w:bidi="ar-SA"/>
              </w:rPr>
              <w:t>浙江省金华市婺城区琅峰街469号</w:t>
            </w:r>
            <w:bookmarkEnd w:id="18"/>
          </w:p>
        </w:tc>
        <w:tc>
          <w:tcPr>
            <w:tcW w:w="4927"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经营地址</w:t>
            </w:r>
          </w:p>
        </w:tc>
        <w:tc>
          <w:tcPr>
            <w:tcW w:w="3459"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9" w:name="办公地址"/>
            <w:r>
              <w:rPr>
                <w:rFonts w:asciiTheme="minorEastAsia" w:hAnsiTheme="minorEastAsia" w:eastAsiaTheme="minorEastAsia"/>
                <w:sz w:val="22"/>
                <w:szCs w:val="22"/>
              </w:rPr>
              <w:t>浙江省金华市婺城区</w:t>
            </w:r>
            <w:r>
              <w:rPr>
                <w:rFonts w:hint="eastAsia" w:asciiTheme="minorEastAsia" w:hAnsiTheme="minorEastAsia" w:eastAsiaTheme="minorEastAsia"/>
                <w:sz w:val="22"/>
                <w:szCs w:val="22"/>
                <w:lang w:val="en-US" w:eastAsia="zh-CN"/>
              </w:rPr>
              <w:t>秋滨街道</w:t>
            </w:r>
            <w:r>
              <w:rPr>
                <w:rFonts w:asciiTheme="minorEastAsia" w:hAnsiTheme="minorEastAsia" w:eastAsiaTheme="minorEastAsia"/>
                <w:sz w:val="22"/>
                <w:szCs w:val="22"/>
              </w:rPr>
              <w:t>琅峰街469号</w:t>
            </w:r>
            <w:bookmarkEnd w:id="19"/>
          </w:p>
        </w:tc>
        <w:tc>
          <w:tcPr>
            <w:tcW w:w="4927"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459"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英文公司名称及地址                                                      English company name &amp; address</w:t>
            </w:r>
          </w:p>
        </w:tc>
        <w:tc>
          <w:tcPr>
            <w:tcW w:w="4927" w:type="dxa"/>
            <w:gridSpan w:val="4"/>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 xml:space="preserve">英文认证范围                </w:t>
            </w:r>
          </w:p>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highlight w:val="none"/>
                <w:lang w:val="en-US" w:eastAsia="zh-CN" w:bidi="ar-SA"/>
              </w:rPr>
            </w:pPr>
            <w:r>
              <w:rPr>
                <w:rFonts w:cs="Arial"/>
                <w:b/>
                <w:bCs/>
                <w:sz w:val="22"/>
                <w:szCs w:val="16"/>
                <w:highlight w:val="none"/>
                <w:lang w:val="en-US"/>
              </w:rPr>
              <w:t>Company Name</w:t>
            </w:r>
            <w:r>
              <w:rPr>
                <w:rFonts w:hint="eastAsia" w:ascii="Times New Roman" w:hAnsi="Times New Roman" w:eastAsia="宋体" w:cs="Times New Roman"/>
                <w:b w:val="0"/>
                <w:kern w:val="2"/>
                <w:sz w:val="22"/>
                <w:szCs w:val="22"/>
                <w:highlight w:val="none"/>
                <w:lang w:val="en-GB" w:eastAsia="zh-CN" w:bidi="ar-SA"/>
              </w:rPr>
              <w:t>公司名称</w:t>
            </w:r>
          </w:p>
        </w:tc>
        <w:tc>
          <w:tcPr>
            <w:tcW w:w="3459" w:type="dxa"/>
            <w:vMerge w:val="restart"/>
          </w:tcPr>
          <w:p>
            <w:pPr>
              <w:snapToGrid w:val="0"/>
              <w:spacing w:line="0" w:lineRule="atLeast"/>
              <w:jc w:val="left"/>
              <w:rPr>
                <w:rFonts w:hint="eastAsia" w:ascii="Times New Roman" w:hAnsi="Times New Roman" w:eastAsia="宋体" w:cs="Times New Roman"/>
                <w:b w:val="0"/>
                <w:kern w:val="2"/>
                <w:sz w:val="22"/>
                <w:szCs w:val="22"/>
                <w:highlight w:val="none"/>
                <w:lang w:val="en-US" w:eastAsia="zh-CN" w:bidi="ar-SA"/>
              </w:rPr>
            </w:pPr>
            <w:r>
              <w:rPr>
                <w:rFonts w:hint="eastAsia" w:ascii="Times New Roman" w:hAnsi="Times New Roman" w:eastAsia="宋体" w:cs="Times New Roman"/>
                <w:b w:val="0"/>
                <w:kern w:val="2"/>
                <w:sz w:val="22"/>
                <w:szCs w:val="22"/>
                <w:highlight w:val="none"/>
                <w:lang w:val="en-US" w:eastAsia="zh-CN" w:bidi="ar-SA"/>
              </w:rPr>
              <w:t xml:space="preserve">Zhejiang Weida  Cereals &amp; Oil Co. , Ltd. </w:t>
            </w:r>
          </w:p>
        </w:tc>
        <w:tc>
          <w:tcPr>
            <w:tcW w:w="2864" w:type="dxa"/>
            <w:gridSpan w:val="2"/>
          </w:tcPr>
          <w:p>
            <w:pPr>
              <w:snapToGrid w:val="0"/>
              <w:spacing w:line="0" w:lineRule="atLeast"/>
              <w:jc w:val="left"/>
              <w:rPr>
                <w:rFonts w:hint="default" w:ascii="Times New Roman" w:hAnsi="Times New Roman" w:eastAsia="宋体" w:cs="Times New Roman"/>
                <w:b w:val="0"/>
                <w:kern w:val="2"/>
                <w:sz w:val="22"/>
                <w:szCs w:val="22"/>
                <w:highlight w:val="none"/>
                <w:lang w:val="en-US" w:eastAsia="zh-CN" w:bidi="ar-SA"/>
              </w:rPr>
            </w:pPr>
            <w:r>
              <w:rPr>
                <w:rFonts w:hint="eastAsia" w:cs="Times New Roman"/>
                <w:b w:val="0"/>
                <w:kern w:val="2"/>
                <w:sz w:val="22"/>
                <w:szCs w:val="22"/>
                <w:highlight w:val="none"/>
                <w:lang w:val="en-US" w:eastAsia="zh-CN" w:bidi="ar-SA"/>
              </w:rPr>
              <w:t>QMS/EcMS</w:t>
            </w:r>
          </w:p>
        </w:tc>
        <w:tc>
          <w:tcPr>
            <w:tcW w:w="2063" w:type="dxa"/>
            <w:gridSpan w:val="2"/>
          </w:tcPr>
          <w:p>
            <w:pPr>
              <w:snapToGrid w:val="0"/>
              <w:spacing w:line="0" w:lineRule="atLeast"/>
              <w:jc w:val="left"/>
              <w:rPr>
                <w:rFonts w:hint="eastAsia"/>
                <w:sz w:val="21"/>
                <w:szCs w:val="16"/>
                <w:highlight w:val="none"/>
                <w:lang w:val="en-US" w:eastAsia="zh-CN"/>
              </w:rPr>
            </w:pPr>
            <w:r>
              <w:rPr>
                <w:rFonts w:hint="eastAsia" w:cs="Times New Roman"/>
                <w:b w:val="0"/>
                <w:kern w:val="2"/>
                <w:sz w:val="22"/>
                <w:szCs w:val="22"/>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highlight w:val="none"/>
                <w:lang w:val="en-US"/>
              </w:rPr>
            </w:pPr>
          </w:p>
        </w:tc>
        <w:tc>
          <w:tcPr>
            <w:tcW w:w="3459" w:type="dxa"/>
            <w:vMerge w:val="continue"/>
          </w:tcPr>
          <w:p>
            <w:pPr>
              <w:snapToGrid w:val="0"/>
              <w:spacing w:line="0" w:lineRule="atLeast"/>
              <w:jc w:val="left"/>
              <w:rPr>
                <w:rFonts w:hint="eastAsia" w:cs="Arial"/>
                <w:b/>
                <w:bCs/>
                <w:sz w:val="22"/>
                <w:szCs w:val="16"/>
                <w:highlight w:val="none"/>
                <w:lang w:val="en-US" w:eastAsia="zh-CN"/>
              </w:rPr>
            </w:pPr>
          </w:p>
        </w:tc>
        <w:tc>
          <w:tcPr>
            <w:tcW w:w="2864" w:type="dxa"/>
            <w:gridSpan w:val="2"/>
          </w:tcPr>
          <w:p>
            <w:pPr>
              <w:snapToGrid w:val="0"/>
              <w:spacing w:line="0" w:lineRule="atLeast"/>
              <w:jc w:val="left"/>
              <w:rPr>
                <w:rFonts w:hint="eastAsia" w:ascii="Times New Roman" w:hAnsi="Times New Roman" w:eastAsia="宋体" w:cs="Times New Roman"/>
                <w:b w:val="0"/>
                <w:kern w:val="2"/>
                <w:sz w:val="22"/>
                <w:szCs w:val="22"/>
                <w:highlight w:val="none"/>
                <w:lang w:val="en-US" w:eastAsia="zh-CN" w:bidi="ar-SA"/>
              </w:rPr>
            </w:pPr>
            <w:r>
              <w:rPr>
                <w:rFonts w:hint="eastAsia" w:cs="Times New Roman"/>
                <w:b w:val="0"/>
                <w:kern w:val="2"/>
                <w:sz w:val="22"/>
                <w:szCs w:val="22"/>
                <w:highlight w:val="none"/>
                <w:lang w:val="en-US" w:eastAsia="zh-CN" w:bidi="ar-SA"/>
              </w:rPr>
              <w:t>EMS</w:t>
            </w:r>
          </w:p>
        </w:tc>
        <w:tc>
          <w:tcPr>
            <w:tcW w:w="2063" w:type="dxa"/>
            <w:gridSpan w:val="2"/>
          </w:tcPr>
          <w:p>
            <w:pPr>
              <w:snapToGrid w:val="0"/>
              <w:spacing w:line="0" w:lineRule="atLeast"/>
              <w:jc w:val="left"/>
              <w:rPr>
                <w:rFonts w:hint="eastAsia"/>
                <w:sz w:val="21"/>
                <w:szCs w:val="16"/>
                <w:highlight w:val="none"/>
                <w:lang w:val="en-US" w:eastAsia="zh-CN"/>
              </w:rPr>
            </w:pPr>
            <w:r>
              <w:rPr>
                <w:rFonts w:hint="eastAsia"/>
                <w:sz w:val="21"/>
                <w:szCs w:val="16"/>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highlight w:val="none"/>
                <w:lang w:val="en-US" w:eastAsia="zh-CN" w:bidi="ar-SA"/>
              </w:rPr>
            </w:pPr>
            <w:r>
              <w:rPr>
                <w:sz w:val="22"/>
                <w:szCs w:val="16"/>
                <w:highlight w:val="none"/>
              </w:rPr>
              <w:fldChar w:fldCharType="begin"/>
            </w:r>
            <w:r>
              <w:rPr>
                <w:sz w:val="22"/>
                <w:szCs w:val="16"/>
                <w:highlight w:val="none"/>
                <w:lang w:val="en-GB" w:eastAsia="zh-CN"/>
              </w:rPr>
              <w:instrText xml:space="preserve"> STYLEREF TM_street \* MERGEFORMAT </w:instrText>
            </w:r>
            <w:r>
              <w:rPr>
                <w:sz w:val="22"/>
                <w:szCs w:val="16"/>
                <w:highlight w:val="none"/>
              </w:rPr>
              <w:fldChar w:fldCharType="separate"/>
            </w:r>
            <w:r>
              <w:rPr>
                <w:sz w:val="22"/>
                <w:szCs w:val="16"/>
                <w:highlight w:val="none"/>
              </w:rPr>
              <w:fldChar w:fldCharType="end"/>
            </w:r>
            <w:r>
              <w:rPr>
                <w:rFonts w:cs="Arial"/>
                <w:b/>
                <w:bCs/>
                <w:sz w:val="22"/>
                <w:szCs w:val="16"/>
                <w:highlight w:val="none"/>
                <w:lang w:val="en-US"/>
              </w:rPr>
              <w:t>Registration Address</w:t>
            </w:r>
            <w:r>
              <w:rPr>
                <w:rFonts w:hint="eastAsia" w:ascii="Times New Roman" w:hAnsi="Times New Roman" w:eastAsia="宋体" w:cs="Times New Roman"/>
                <w:b w:val="0"/>
                <w:kern w:val="2"/>
                <w:sz w:val="22"/>
                <w:szCs w:val="22"/>
                <w:highlight w:val="none"/>
                <w:lang w:val="en-GB" w:eastAsia="zh-CN" w:bidi="ar-SA"/>
              </w:rPr>
              <w:t>注册地址</w:t>
            </w:r>
          </w:p>
        </w:tc>
        <w:tc>
          <w:tcPr>
            <w:tcW w:w="3459" w:type="dxa"/>
            <w:vMerge w:val="restart"/>
          </w:tcPr>
          <w:p>
            <w:pPr>
              <w:snapToGrid w:val="0"/>
              <w:spacing w:line="0" w:lineRule="atLeast"/>
              <w:jc w:val="left"/>
              <w:rPr>
                <w:rFonts w:hint="eastAsia" w:ascii="Times New Roman" w:hAnsi="Times New Roman" w:eastAsia="宋体" w:cs="Times New Roman"/>
                <w:b w:val="0"/>
                <w:kern w:val="2"/>
                <w:sz w:val="22"/>
                <w:szCs w:val="22"/>
                <w:highlight w:val="none"/>
                <w:lang w:val="en-US" w:eastAsia="zh-CN" w:bidi="ar-SA"/>
              </w:rPr>
            </w:pPr>
            <w:r>
              <w:rPr>
                <w:rFonts w:hint="eastAsia" w:ascii="Times New Roman" w:hAnsi="Times New Roman" w:eastAsia="宋体" w:cs="Times New Roman"/>
                <w:b w:val="0"/>
                <w:kern w:val="2"/>
                <w:sz w:val="22"/>
                <w:szCs w:val="22"/>
                <w:highlight w:val="none"/>
                <w:lang w:val="en-US" w:eastAsia="zh-CN" w:bidi="ar-SA"/>
              </w:rPr>
              <w:t xml:space="preserve">No.469 Langfeng Street, Wucheng  District, Jinhua, Zhejiang Province </w:t>
            </w:r>
          </w:p>
        </w:tc>
        <w:tc>
          <w:tcPr>
            <w:tcW w:w="2864" w:type="dxa"/>
            <w:gridSpan w:val="2"/>
          </w:tcPr>
          <w:p>
            <w:pPr>
              <w:snapToGrid w:val="0"/>
              <w:spacing w:line="0" w:lineRule="atLeast"/>
              <w:jc w:val="left"/>
              <w:rPr>
                <w:rFonts w:hint="default" w:ascii="Times New Roman" w:hAnsi="Times New Roman" w:eastAsia="宋体" w:cs="Times New Roman"/>
                <w:b w:val="0"/>
                <w:kern w:val="2"/>
                <w:sz w:val="22"/>
                <w:szCs w:val="22"/>
                <w:highlight w:val="none"/>
                <w:lang w:val="en-US" w:eastAsia="zh-CN" w:bidi="ar-SA"/>
              </w:rPr>
            </w:pPr>
            <w:r>
              <w:rPr>
                <w:rFonts w:hint="eastAsia" w:cs="Times New Roman"/>
                <w:b w:val="0"/>
                <w:kern w:val="2"/>
                <w:sz w:val="22"/>
                <w:szCs w:val="22"/>
                <w:highlight w:val="none"/>
                <w:lang w:val="en-US" w:eastAsia="zh-CN" w:bidi="ar-SA"/>
              </w:rPr>
              <w:t>OHSMS</w:t>
            </w:r>
          </w:p>
        </w:tc>
        <w:tc>
          <w:tcPr>
            <w:tcW w:w="2063" w:type="dxa"/>
            <w:gridSpan w:val="2"/>
          </w:tcPr>
          <w:p>
            <w:pPr>
              <w:snapToGrid w:val="0"/>
              <w:spacing w:line="0" w:lineRule="atLeast"/>
              <w:jc w:val="left"/>
              <w:rPr>
                <w:rFonts w:hint="default" w:ascii="Times New Roman" w:hAnsi="Times New Roman" w:eastAsia="宋体" w:cs="Times New Roman"/>
                <w:b w:val="0"/>
                <w:kern w:val="2"/>
                <w:sz w:val="22"/>
                <w:szCs w:val="22"/>
                <w:highlight w:val="none"/>
                <w:lang w:val="en-US" w:eastAsia="zh-CN" w:bidi="ar-SA"/>
              </w:rPr>
            </w:pPr>
            <w:r>
              <w:rPr>
                <w:rFonts w:hint="eastAsia" w:cs="Times New Roman"/>
                <w:b w:val="0"/>
                <w:kern w:val="2"/>
                <w:sz w:val="22"/>
                <w:szCs w:val="22"/>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highlight w:val="none"/>
              </w:rPr>
            </w:pPr>
          </w:p>
        </w:tc>
        <w:tc>
          <w:tcPr>
            <w:tcW w:w="3459" w:type="dxa"/>
            <w:vMerge w:val="continue"/>
          </w:tcPr>
          <w:p>
            <w:pPr>
              <w:snapToGrid w:val="0"/>
              <w:spacing w:line="0" w:lineRule="atLeast"/>
              <w:jc w:val="left"/>
              <w:rPr>
                <w:rFonts w:cs="Arial"/>
                <w:b/>
                <w:bCs/>
                <w:sz w:val="22"/>
                <w:szCs w:val="16"/>
                <w:highlight w:val="none"/>
                <w:lang w:val="en-US" w:eastAsia="zh-CN"/>
              </w:rPr>
            </w:pPr>
          </w:p>
        </w:tc>
        <w:tc>
          <w:tcPr>
            <w:tcW w:w="2864" w:type="dxa"/>
            <w:gridSpan w:val="2"/>
          </w:tcPr>
          <w:p>
            <w:pPr>
              <w:snapToGrid w:val="0"/>
              <w:spacing w:line="0" w:lineRule="atLeast"/>
              <w:jc w:val="left"/>
              <w:rPr>
                <w:rFonts w:hint="default" w:ascii="Times New Roman" w:hAnsi="Times New Roman" w:eastAsia="宋体" w:cs="Times New Roman"/>
                <w:b w:val="0"/>
                <w:kern w:val="2"/>
                <w:sz w:val="22"/>
                <w:szCs w:val="22"/>
                <w:highlight w:val="none"/>
                <w:lang w:val="en-US" w:eastAsia="zh-CN" w:bidi="ar-SA"/>
              </w:rPr>
            </w:pPr>
            <w:r>
              <w:rPr>
                <w:rFonts w:hint="eastAsia" w:cs="Times New Roman"/>
                <w:b w:val="0"/>
                <w:kern w:val="2"/>
                <w:sz w:val="22"/>
                <w:szCs w:val="22"/>
                <w:highlight w:val="none"/>
                <w:lang w:val="en-US" w:eastAsia="zh-CN" w:bidi="ar-SA"/>
              </w:rPr>
              <w:t>EnMS</w:t>
            </w:r>
          </w:p>
        </w:tc>
        <w:tc>
          <w:tcPr>
            <w:tcW w:w="2063" w:type="dxa"/>
            <w:gridSpan w:val="2"/>
          </w:tcPr>
          <w:p>
            <w:pPr>
              <w:snapToGrid w:val="0"/>
              <w:spacing w:line="0" w:lineRule="atLeast"/>
              <w:jc w:val="left"/>
              <w:rPr>
                <w:rFonts w:hint="default" w:ascii="Times New Roman" w:hAnsi="Times New Roman" w:eastAsia="宋体" w:cs="Times New Roman"/>
                <w:b w:val="0"/>
                <w:kern w:val="2"/>
                <w:sz w:val="22"/>
                <w:szCs w:val="22"/>
                <w:highlight w:val="none"/>
                <w:lang w:val="en-US" w:eastAsia="zh-CN" w:bidi="ar-SA"/>
              </w:rPr>
            </w:pPr>
            <w:r>
              <w:rPr>
                <w:rFonts w:hint="eastAsia" w:cs="Times New Roman"/>
                <w:b w:val="0"/>
                <w:kern w:val="2"/>
                <w:sz w:val="22"/>
                <w:szCs w:val="22"/>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highlight w:val="none"/>
                <w:lang w:val="en-GB" w:eastAsia="zh-CN" w:bidi="ar-SA"/>
              </w:rPr>
            </w:pPr>
            <w:r>
              <w:rPr>
                <w:rFonts w:cs="Arial"/>
                <w:b/>
                <w:bCs/>
                <w:sz w:val="22"/>
                <w:szCs w:val="16"/>
                <w:highlight w:val="none"/>
                <w:lang w:val="en-US"/>
              </w:rPr>
              <w:t>Operation Address</w:t>
            </w:r>
            <w:r>
              <w:rPr>
                <w:rFonts w:hint="eastAsia" w:cs="Times New Roman"/>
                <w:b w:val="0"/>
                <w:kern w:val="2"/>
                <w:sz w:val="22"/>
                <w:szCs w:val="22"/>
                <w:highlight w:val="none"/>
                <w:lang w:val="en-US" w:eastAsia="zh-CN" w:bidi="ar-SA"/>
              </w:rPr>
              <w:t>经营</w:t>
            </w:r>
            <w:r>
              <w:rPr>
                <w:rFonts w:hint="eastAsia" w:ascii="Times New Roman" w:hAnsi="Times New Roman" w:eastAsia="宋体" w:cs="Times New Roman"/>
                <w:b w:val="0"/>
                <w:kern w:val="2"/>
                <w:sz w:val="22"/>
                <w:szCs w:val="22"/>
                <w:highlight w:val="none"/>
                <w:lang w:val="en-GB" w:eastAsia="zh-CN" w:bidi="ar-SA"/>
              </w:rPr>
              <w:t>地址</w:t>
            </w:r>
          </w:p>
        </w:tc>
        <w:tc>
          <w:tcPr>
            <w:tcW w:w="3459" w:type="dxa"/>
            <w:vMerge w:val="restart"/>
          </w:tcPr>
          <w:p>
            <w:pPr>
              <w:snapToGrid w:val="0"/>
              <w:spacing w:line="0" w:lineRule="atLeast"/>
              <w:jc w:val="left"/>
              <w:rPr>
                <w:rFonts w:hint="eastAsia" w:ascii="Times New Roman" w:hAnsi="Times New Roman" w:eastAsia="宋体" w:cs="Times New Roman"/>
                <w:b w:val="0"/>
                <w:kern w:val="2"/>
                <w:sz w:val="22"/>
                <w:szCs w:val="22"/>
                <w:highlight w:val="none"/>
                <w:lang w:val="en-US" w:eastAsia="zh-CN" w:bidi="ar-SA"/>
              </w:rPr>
            </w:pPr>
            <w:r>
              <w:rPr>
                <w:rFonts w:hint="eastAsia" w:ascii="Times New Roman" w:hAnsi="Times New Roman" w:eastAsia="宋体" w:cs="Times New Roman"/>
                <w:b w:val="0"/>
                <w:kern w:val="2"/>
                <w:sz w:val="22"/>
                <w:szCs w:val="22"/>
                <w:highlight w:val="none"/>
                <w:lang w:val="en-US" w:eastAsia="zh-CN" w:bidi="ar-SA"/>
              </w:rPr>
              <w:t>No. 469, Langfeng Street, Qiubin Street, Wucheng district, Jinhua, Zhejiang Province</w:t>
            </w:r>
          </w:p>
        </w:tc>
        <w:tc>
          <w:tcPr>
            <w:tcW w:w="2864" w:type="dxa"/>
            <w:gridSpan w:val="2"/>
          </w:tcPr>
          <w:p>
            <w:pPr>
              <w:snapToGrid w:val="0"/>
              <w:spacing w:line="0" w:lineRule="atLeast"/>
              <w:jc w:val="left"/>
              <w:rPr>
                <w:rFonts w:hint="eastAsia" w:ascii="Times New Roman" w:hAnsi="Times New Roman" w:eastAsia="宋体" w:cs="Times New Roman"/>
                <w:b w:val="0"/>
                <w:kern w:val="2"/>
                <w:sz w:val="22"/>
                <w:szCs w:val="22"/>
                <w:highlight w:val="none"/>
                <w:lang w:val="en-US" w:eastAsia="zh-CN" w:bidi="ar-SA"/>
              </w:rPr>
            </w:pPr>
            <w:r>
              <w:rPr>
                <w:rFonts w:hint="eastAsia" w:cs="Times New Roman"/>
                <w:b w:val="0"/>
                <w:kern w:val="2"/>
                <w:sz w:val="22"/>
                <w:szCs w:val="22"/>
                <w:highlight w:val="none"/>
                <w:lang w:val="en-US" w:eastAsia="zh-CN" w:bidi="ar-SA"/>
              </w:rPr>
              <w:t>FSMS</w:t>
            </w:r>
          </w:p>
        </w:tc>
        <w:tc>
          <w:tcPr>
            <w:tcW w:w="2063" w:type="dxa"/>
            <w:gridSpan w:val="2"/>
          </w:tcPr>
          <w:p>
            <w:pPr>
              <w:snapToGrid w:val="0"/>
              <w:spacing w:line="0" w:lineRule="atLeast"/>
              <w:jc w:val="left"/>
              <w:rPr>
                <w:rFonts w:hint="eastAsia" w:ascii="Times New Roman" w:hAnsi="Times New Roman" w:eastAsia="宋体" w:cs="Times New Roman"/>
                <w:b w:val="0"/>
                <w:kern w:val="2"/>
                <w:sz w:val="22"/>
                <w:szCs w:val="22"/>
                <w:highlight w:val="none"/>
                <w:lang w:val="en-US" w:eastAsia="zh-CN" w:bidi="ar-SA"/>
              </w:rPr>
            </w:pPr>
            <w:r>
              <w:rPr>
                <w:rFonts w:hint="eastAsia" w:cs="Times New Roman"/>
                <w:b w:val="0"/>
                <w:kern w:val="2"/>
                <w:sz w:val="22"/>
                <w:szCs w:val="22"/>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highlight w:val="none"/>
                <w:lang w:val="en-US"/>
              </w:rPr>
            </w:pPr>
          </w:p>
        </w:tc>
        <w:tc>
          <w:tcPr>
            <w:tcW w:w="3459" w:type="dxa"/>
            <w:vMerge w:val="continue"/>
          </w:tcPr>
          <w:p>
            <w:pPr>
              <w:snapToGrid w:val="0"/>
              <w:spacing w:line="0" w:lineRule="atLeast"/>
              <w:jc w:val="left"/>
              <w:rPr>
                <w:rFonts w:cs="Arial"/>
                <w:b/>
                <w:bCs/>
                <w:sz w:val="22"/>
                <w:szCs w:val="16"/>
                <w:highlight w:val="none"/>
                <w:lang w:val="en-US" w:eastAsia="zh-CN"/>
              </w:rPr>
            </w:pPr>
          </w:p>
        </w:tc>
        <w:tc>
          <w:tcPr>
            <w:tcW w:w="2864" w:type="dxa"/>
            <w:gridSpan w:val="2"/>
          </w:tcPr>
          <w:p>
            <w:pPr>
              <w:snapToGrid w:val="0"/>
              <w:spacing w:line="0" w:lineRule="atLeast"/>
              <w:jc w:val="left"/>
              <w:rPr>
                <w:rFonts w:hint="eastAsia" w:ascii="Times New Roman" w:hAnsi="Times New Roman" w:eastAsia="宋体" w:cs="Times New Roman"/>
                <w:b w:val="0"/>
                <w:kern w:val="2"/>
                <w:sz w:val="22"/>
                <w:szCs w:val="22"/>
                <w:highlight w:val="none"/>
                <w:lang w:val="en-US" w:eastAsia="zh-CN" w:bidi="ar-SA"/>
              </w:rPr>
            </w:pPr>
            <w:r>
              <w:rPr>
                <w:rFonts w:hint="eastAsia" w:cs="Times New Roman"/>
                <w:b w:val="0"/>
                <w:kern w:val="2"/>
                <w:sz w:val="22"/>
                <w:szCs w:val="22"/>
                <w:highlight w:val="none"/>
                <w:lang w:val="en-US" w:eastAsia="zh-CN" w:bidi="ar-SA"/>
              </w:rPr>
              <w:t>HACCP</w:t>
            </w:r>
          </w:p>
        </w:tc>
        <w:tc>
          <w:tcPr>
            <w:tcW w:w="2063" w:type="dxa"/>
            <w:gridSpan w:val="2"/>
          </w:tcPr>
          <w:p>
            <w:pPr>
              <w:snapToGrid w:val="0"/>
              <w:spacing w:line="0" w:lineRule="atLeast"/>
              <w:jc w:val="left"/>
              <w:rPr>
                <w:rFonts w:hint="eastAsia" w:ascii="Times New Roman" w:hAnsi="Times New Roman" w:eastAsia="宋体" w:cs="Times New Roman"/>
                <w:b w:val="0"/>
                <w:kern w:val="2"/>
                <w:sz w:val="22"/>
                <w:szCs w:val="22"/>
                <w:highlight w:val="none"/>
                <w:lang w:val="en-US" w:eastAsia="zh-CN" w:bidi="ar-SA"/>
              </w:rPr>
            </w:pPr>
            <w:r>
              <w:rPr>
                <w:rFonts w:hint="eastAsia" w:ascii="Times New Roman" w:hAnsi="Times New Roman" w:eastAsia="宋体" w:cs="Times New Roman"/>
                <w:b w:val="0"/>
                <w:kern w:val="2"/>
                <w:sz w:val="22"/>
                <w:szCs w:val="22"/>
                <w:highlight w:val="none"/>
                <w:lang w:val="en-US" w:eastAsia="zh-CN" w:bidi="ar-SA"/>
              </w:rPr>
              <w:t>Production of quick-frozen rice food [ cooked products (quick-frozen Buns, quick-frozen steamed bread)] in the food workshop at 469 Langfeng Street, Qiubin Street, Wucheng district, Jinhua, Zhejiang Province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hint="default" w:eastAsia="宋体" w:cs="Arial"/>
                <w:b/>
                <w:bCs/>
                <w:sz w:val="22"/>
                <w:szCs w:val="16"/>
                <w:lang w:val="en-US" w:eastAsia="zh-CN"/>
              </w:rPr>
            </w:pPr>
            <w:r>
              <w:rPr>
                <w:rFonts w:hint="eastAsia" w:cs="Arial"/>
                <w:b/>
                <w:bCs/>
                <w:sz w:val="22"/>
                <w:szCs w:val="16"/>
                <w:lang w:val="en-US" w:eastAsia="zh-CN"/>
              </w:rPr>
              <w:t>受审核方签章</w:t>
            </w:r>
          </w:p>
        </w:tc>
        <w:tc>
          <w:tcPr>
            <w:tcW w:w="5040" w:type="dxa"/>
            <w:gridSpan w:val="2"/>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gridSpan w:val="2"/>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20" w:name="_GoBack"/>
            <w:bookmarkEnd w:id="20"/>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pStyle w:val="2"/>
        <w:spacing w:line="0" w:lineRule="atLeast"/>
        <w:ind w:firstLine="0"/>
        <w:rPr>
          <w:rFonts w:hint="eastAsia"/>
          <w:b/>
          <w:color w:val="000000" w:themeColor="text1"/>
          <w:sz w:val="18"/>
          <w:szCs w:val="18"/>
          <w:lang w:val="en-GB" w:eastAsia="zh-CN"/>
        </w:rPr>
      </w:pPr>
    </w:p>
    <w:sectPr>
      <w:headerReference r:id="rId5" w:type="default"/>
      <w:pgSz w:w="11906" w:h="16838"/>
      <w:pgMar w:top="1440" w:right="1080" w:bottom="1440" w:left="1080" w:header="737" w:footer="480"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mc:AlternateContent>
        <mc:Choice Requires="wps">
          <w:drawing>
            <wp:anchor distT="0" distB="0" distL="114300" distR="114300" simplePos="0" relativeHeight="251659264" behindDoc="0" locked="0" layoutInCell="1" allowOverlap="1">
              <wp:simplePos x="0" y="0"/>
              <wp:positionH relativeFrom="column">
                <wp:posOffset>4942205</wp:posOffset>
              </wp:positionH>
              <wp:positionV relativeFrom="paragraph">
                <wp:posOffset>135890</wp:posOffset>
              </wp:positionV>
              <wp:extent cx="1116330" cy="256540"/>
              <wp:effectExtent l="0" t="0" r="1270" b="10160"/>
              <wp:wrapNone/>
              <wp:docPr id="2" name="文本框 1025"/>
              <wp:cNvGraphicFramePr/>
              <a:graphic xmlns:a="http://schemas.openxmlformats.org/drawingml/2006/main">
                <a:graphicData uri="http://schemas.microsoft.com/office/word/2010/wordprocessingShape">
                  <wps:wsp>
                    <wps:cNvSpPr txBox="1"/>
                    <wps:spPr>
                      <a:xfrm>
                        <a:off x="0" y="0"/>
                        <a:ext cx="1116330" cy="256540"/>
                      </a:xfrm>
                      <a:prstGeom prst="rect">
                        <a:avLst/>
                      </a:prstGeom>
                      <a:solidFill>
                        <a:srgbClr val="FFFFFF"/>
                      </a:solidFill>
                      <a:ln>
                        <a:noFill/>
                      </a:ln>
                    </wps:spPr>
                    <wps:txbx>
                      <w:txbxContent>
                        <w:p>
                          <w:pPr>
                            <w:rPr>
                              <w:rFonts w:hint="eastAsia"/>
                              <w:sz w:val="18"/>
                              <w:szCs w:val="18"/>
                            </w:rPr>
                          </w:pPr>
                          <w:r>
                            <w:rPr>
                              <w:rFonts w:hint="eastAsia"/>
                              <w:sz w:val="18"/>
                              <w:szCs w:val="18"/>
                            </w:rPr>
                            <w:t>ISC-B-II-20(05版）</w:t>
                          </w:r>
                        </w:p>
                      </w:txbxContent>
                    </wps:txbx>
                    <wps:bodyPr upright="1"/>
                  </wps:wsp>
                </a:graphicData>
              </a:graphic>
            </wp:anchor>
          </w:drawing>
        </mc:Choice>
        <mc:Fallback>
          <w:pict>
            <v:shape id="文本框 1025" o:spid="_x0000_s1026" o:spt="202" type="#_x0000_t202" style="position:absolute;left:0pt;margin-left:389.15pt;margin-top:10.7pt;height:20.2pt;width:87.9pt;z-index:251659264;mso-width-relative:page;mso-height-relative:page;" fillcolor="#FFFFFF" filled="t" stroked="f" coordsize="21600,21600" o:gfxdata="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xQCwI2AAAAAkBAAAPAAAAAAAAAAEAIAAAACIAAABkcnMvZG93bnJl&#10;di54bWxQSwECFAAUAAAACACHTuJAZ6JavMQBAAB6AwAADgAAAAAAAAABACAAAAAnAQAAZHJzL2Uy&#10;b0RvYy54bWxQSwUGAAAAAAYABgBZAQAAXQUAAAAA&#10;">
              <v:fill on="t" focussize="0,0"/>
              <v:stroke on="f"/>
              <v:imagedata o:title=""/>
              <o:lock v:ext="edit" aspectratio="f"/>
              <v:textbox>
                <w:txbxContent>
                  <w:p>
                    <w:pPr>
                      <w:rPr>
                        <w:rFonts w:hint="eastAsia"/>
                        <w:sz w:val="18"/>
                        <w:szCs w:val="18"/>
                      </w:rPr>
                    </w:pPr>
                    <w:r>
                      <w:rPr>
                        <w:rFonts w:hint="eastAsia"/>
                        <w:sz w:val="18"/>
                        <w:szCs w:val="18"/>
                      </w:rPr>
                      <w:t>ISC-B-II-20(05版）</w:t>
                    </w:r>
                  </w:p>
                </w:txbxContent>
              </v:textbox>
            </v:shape>
          </w:pict>
        </mc:Fallback>
      </mc:AlternateConten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C7293A"/>
    <w:rsid w:val="3F351065"/>
    <w:rsid w:val="49D15AFA"/>
    <w:rsid w:val="610A4E7C"/>
    <w:rsid w:val="69D604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156</Words>
  <Characters>895</Characters>
  <Lines>7</Lines>
  <Paragraphs>2</Paragraphs>
  <TotalTime>29</TotalTime>
  <ScaleCrop>false</ScaleCrop>
  <LinksUpToDate>false</LinksUpToDate>
  <CharactersWithSpaces>1049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肖新龙</cp:lastModifiedBy>
  <cp:lastPrinted>2019-05-13T03:13:00Z</cp:lastPrinted>
  <dcterms:modified xsi:type="dcterms:W3CDTF">2021-10-10T01:43:48Z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0FD4A0F271A34182BCD91EB4E5ED1D1F</vt:lpwstr>
  </property>
  <property fmtid="{D5CDD505-2E9C-101B-9397-08002B2CF9AE}" pid="3" name="KSOProductBuildVer">
    <vt:lpwstr>2052-11.1.0.10938</vt:lpwstr>
  </property>
</Properties>
</file>