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1023-2021-QE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畅帆（北京）商务管理服务有限公司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w:char="00A8"/>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2021年10月08日 上午至2021年10月08日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r>
              <w:rPr>
                <w:rFonts w:hint="eastAsia" w:ascii="宋体" w:hAnsi="宋体"/>
                <w:b/>
                <w:color w:val="000000"/>
                <w:szCs w:val="21"/>
              </w:rPr>
              <w:sym w:font="Wingdings" w:char="00A8"/>
            </w:r>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2020-N1EMS-3014142</w:t>
            </w:r>
          </w:p>
        </w:tc>
        <w:tc>
          <w:tcPr>
            <w:tcW w:w="1140" w:type="dxa"/>
            <w:vAlign w:val="center"/>
          </w:tcPr>
          <w:p>
            <w:pPr>
              <w:spacing w:line="240" w:lineRule="exact"/>
              <w:jc w:val="center"/>
              <w:rPr>
                <w:b/>
                <w:color w:val="000000"/>
                <w:szCs w:val="21"/>
              </w:rPr>
            </w:pPr>
            <w:r>
              <w:rPr>
                <w:b/>
                <w:color w:val="000000"/>
                <w:szCs w:val="21"/>
              </w:rPr>
              <w:t>Q:29.05.08</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E:29.05.08</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2020-N1EMS-1218164</w:t>
            </w:r>
          </w:p>
        </w:tc>
        <w:tc>
          <w:tcPr>
            <w:tcW w:w="1140" w:type="dxa"/>
            <w:vAlign w:val="center"/>
          </w:tcPr>
          <w:p>
            <w:pPr>
              <w:spacing w:line="240" w:lineRule="exact"/>
              <w:jc w:val="center"/>
              <w:rPr>
                <w:b/>
                <w:color w:val="000000"/>
                <w:szCs w:val="21"/>
              </w:rPr>
            </w:pPr>
            <w:r>
              <w:rPr>
                <w:b/>
                <w:color w:val="000000"/>
                <w:szCs w:val="21"/>
              </w:rPr>
              <w:t>Q:29.05.08</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E:29.05.08</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p>
        </w:tc>
        <w:tc>
          <w:tcPr>
            <w:tcW w:w="1089" w:type="dxa"/>
            <w:vAlign w:val="center"/>
          </w:tcPr>
          <w:p>
            <w:pPr>
              <w:spacing w:line="240" w:lineRule="exact"/>
              <w:jc w:val="center"/>
              <w:rPr>
                <w:szCs w:val="21"/>
              </w:rPr>
            </w:pPr>
          </w:p>
        </w:tc>
        <w:tc>
          <w:tcPr>
            <w:tcW w:w="711" w:type="dxa"/>
            <w:vAlign w:val="center"/>
          </w:tcPr>
          <w:p>
            <w:pPr>
              <w:spacing w:line="240" w:lineRule="exact"/>
              <w:jc w:val="center"/>
              <w:rPr>
                <w:b/>
                <w:color w:val="000000"/>
                <w:szCs w:val="21"/>
              </w:rPr>
            </w:pPr>
          </w:p>
        </w:tc>
        <w:tc>
          <w:tcPr>
            <w:tcW w:w="3870" w:type="dxa"/>
            <w:vAlign w:val="center"/>
          </w:tcPr>
          <w:p>
            <w:pPr>
              <w:spacing w:line="240" w:lineRule="exact"/>
              <w:jc w:val="center"/>
              <w:rPr>
                <w:b/>
                <w:color w:val="000000"/>
                <w:szCs w:val="21"/>
              </w:rPr>
            </w:pP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p>
        </w:tc>
        <w:tc>
          <w:tcPr>
            <w:tcW w:w="1089" w:type="dxa"/>
            <w:vAlign w:val="center"/>
          </w:tcPr>
          <w:p>
            <w:pPr>
              <w:spacing w:line="240" w:lineRule="exact"/>
              <w:jc w:val="center"/>
              <w:rPr>
                <w:szCs w:val="21"/>
              </w:rPr>
            </w:pPr>
          </w:p>
        </w:tc>
        <w:tc>
          <w:tcPr>
            <w:tcW w:w="711" w:type="dxa"/>
            <w:vAlign w:val="center"/>
          </w:tcPr>
          <w:p>
            <w:pPr>
              <w:spacing w:line="240" w:lineRule="exact"/>
              <w:jc w:val="center"/>
              <w:rPr>
                <w:b/>
                <w:color w:val="000000"/>
                <w:szCs w:val="21"/>
              </w:rPr>
            </w:pPr>
          </w:p>
        </w:tc>
        <w:tc>
          <w:tcPr>
            <w:tcW w:w="3870" w:type="dxa"/>
            <w:vAlign w:val="center"/>
          </w:tcPr>
          <w:p>
            <w:pPr>
              <w:spacing w:line="240" w:lineRule="exact"/>
              <w:jc w:val="center"/>
              <w:rPr>
                <w:b/>
                <w:color w:val="000000"/>
                <w:szCs w:val="21"/>
              </w:rPr>
            </w:pP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畅帆（北京）商务管理服务有限公司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北京市朝阳区东三环南路甲52楼15层18B内2</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063502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北京市朝阳区东三环南路甲52楼15层18B内2</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063502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王磊</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15110168113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盛秀英</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张刚刚</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ascii="宋体" w:hAnsi="宋体" w:cs="宋体"/>
                <w:color w:val="000000"/>
                <w:kern w:val="0"/>
                <w:szCs w:val="21"/>
              </w:rPr>
              <w:t>航空机票销售代理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widowControl/>
              <w:jc w:val="left"/>
              <w:rPr>
                <w:rFonts w:hint="eastAsia" w:ascii="宋体" w:hAnsi="宋体" w:cs="宋体"/>
                <w:color w:val="000000"/>
                <w:kern w:val="0"/>
                <w:szCs w:val="21"/>
              </w:rPr>
            </w:pPr>
            <w:r>
              <w:rPr>
                <w:rFonts w:hint="eastAsia" w:ascii="宋体" w:hAnsi="宋体"/>
                <w:b/>
                <w:color w:val="000000"/>
                <w:szCs w:val="21"/>
              </w:rPr>
              <w:t>服务：</w:t>
            </w:r>
            <w:r>
              <w:rPr>
                <w:rFonts w:hint="eastAsia" w:ascii="宋体" w:hAnsi="宋体" w:cs="宋体"/>
                <w:color w:val="000000"/>
                <w:kern w:val="0"/>
                <w:szCs w:val="21"/>
              </w:rPr>
              <w:t>人</w:t>
            </w:r>
            <w:r>
              <w:rPr>
                <w:rFonts w:ascii="宋体" w:hAnsi="宋体" w:cs="宋体"/>
                <w:color w:val="000000"/>
                <w:kern w:val="0"/>
                <w:szCs w:val="21"/>
              </w:rPr>
              <w:t>航空机票销售代理</w:t>
            </w:r>
          </w:p>
          <w:p>
            <w:pPr>
              <w:tabs>
                <w:tab w:val="left" w:pos="360"/>
              </w:tabs>
              <w:ind w:left="360" w:hanging="360"/>
              <w:rPr>
                <w:rFonts w:ascii="宋体" w:hAns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r>
              <w:rPr>
                <w:rFonts w:ascii="宋体" w:hAnsi="宋体" w:cs="宋体"/>
                <w:color w:val="000000"/>
                <w:kern w:val="0"/>
                <w:szCs w:val="21"/>
              </w:rPr>
              <w:t>Q：航空机票销售代理</w:t>
            </w:r>
          </w:p>
        </w:tc>
        <w:tc>
          <w:tcPr>
            <w:tcW w:w="2006" w:type="dxa"/>
            <w:gridSpan w:val="3"/>
            <w:vAlign w:val="center"/>
          </w:tcPr>
          <w:p>
            <w:pPr>
              <w:widowControl/>
              <w:jc w:val="both"/>
              <w:rPr>
                <w:rFonts w:ascii="宋体" w:hAnsi="宋体"/>
                <w:b/>
                <w:color w:val="000000"/>
                <w:szCs w:val="21"/>
              </w:rPr>
            </w:pPr>
            <w:r>
              <w:rPr>
                <w:rFonts w:ascii="宋体" w:hAnsi="宋体" w:cs="宋体"/>
                <w:color w:val="000000"/>
                <w:kern w:val="0"/>
                <w:szCs w:val="21"/>
              </w:rPr>
              <w:t>Q:29.05.08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lang w:val="en-US" w:eastAsia="zh-CN"/>
              </w:rPr>
              <w:t>E</w:t>
            </w:r>
            <w:r>
              <w:rPr>
                <w:rFonts w:ascii="宋体" w:hAnsi="宋体" w:cs="宋体"/>
                <w:color w:val="000000"/>
                <w:kern w:val="0"/>
                <w:szCs w:val="21"/>
              </w:rPr>
              <w:t>：航空机票销售代理所涉及场所的相关环境管理活动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E：29.05.08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畅帆（北京）商务管理服务有限公司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京市朝阳区东三环南路甲52楼15层18B内2</w:t>
            </w:r>
          </w:p>
        </w:tc>
        <w:tc>
          <w:tcPr>
            <w:tcW w:w="2267" w:type="dxa"/>
          </w:tcPr>
          <w:p>
            <w:pPr>
              <w:spacing w:before="40" w:after="40"/>
              <w:rPr>
                <w:rFonts w:eastAsia="黑体"/>
                <w:szCs w:val="21"/>
                <w:lang w:val="de-DE" w:eastAsia="ja-JP"/>
              </w:rPr>
            </w:pPr>
            <w:r>
              <w:rPr>
                <w:rFonts w:hint="eastAsia" w:ascii="宋体" w:hAnsi="宋体" w:cs="宋体"/>
                <w:color w:val="000000"/>
                <w:kern w:val="0"/>
                <w:szCs w:val="21"/>
                <w:lang w:val="en-US" w:eastAsia="zh-CN"/>
              </w:rPr>
              <w:t>北</w:t>
            </w:r>
            <w:r>
              <w:rPr>
                <w:rFonts w:hint="eastAsia" w:ascii="宋体" w:hAnsi="宋体" w:cs="宋体"/>
                <w:color w:val="000000"/>
                <w:kern w:val="0"/>
                <w:szCs w:val="21"/>
              </w:rPr>
              <w:t>京市朝阳区东三环南路甲52楼15层18B内2</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Q：航空机票销售代理</w:t>
            </w:r>
          </w:p>
          <w:p>
            <w:pPr>
              <w:pStyle w:val="20"/>
              <w:rPr>
                <w:rFonts w:eastAsia="黑体" w:cs="Arial"/>
                <w:sz w:val="21"/>
                <w:szCs w:val="21"/>
                <w:lang w:val="en-US" w:eastAsia="ja-JP"/>
              </w:rPr>
            </w:pP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畅帆（北京）商务管理服务有限公司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京市朝阳区东三环南路甲52楼15层18B内2</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lang w:val="en-US" w:eastAsia="zh-CN"/>
              </w:rPr>
              <w:t>北</w:t>
            </w:r>
            <w:r>
              <w:rPr>
                <w:rFonts w:hint="eastAsia" w:ascii="宋体" w:hAnsi="宋体" w:cs="宋体"/>
                <w:color w:val="000000"/>
                <w:kern w:val="0"/>
                <w:szCs w:val="21"/>
              </w:rPr>
              <w:t>京市朝阳区东三环南路甲52楼15层18B内2</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spacing w:before="40" w:after="40"/>
              <w:rPr>
                <w:rFonts w:eastAsia="黑体"/>
                <w:szCs w:val="21"/>
                <w:lang w:eastAsia="ja-JP"/>
              </w:rPr>
            </w:pPr>
            <w:r>
              <w:rPr>
                <w:rFonts w:ascii="宋体" w:hAnsi="宋体" w:cs="宋体"/>
                <w:color w:val="000000"/>
                <w:kern w:val="0"/>
                <w:szCs w:val="21"/>
              </w:rPr>
              <w:t>E：航空机票销售代理所涉及场所的相关环境管理活动</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267" w:type="dxa"/>
            <w:vAlign w:val="top"/>
          </w:tcPr>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eastAsia="黑体"/>
                <w:szCs w:val="21"/>
                <w:lang w:val="en-US" w:eastAsia="zh-CN"/>
              </w:rPr>
            </w:pPr>
          </w:p>
        </w:tc>
        <w:tc>
          <w:tcPr>
            <w:tcW w:w="2803" w:type="dxa"/>
            <w:vAlign w:val="center"/>
          </w:tcPr>
          <w:p>
            <w:pPr>
              <w:spacing w:before="40" w:after="40"/>
              <w:rPr>
                <w:rFonts w:eastAsia="黑体"/>
                <w:szCs w:val="21"/>
                <w:lang w:eastAsia="ja-JP"/>
              </w:rPr>
            </w:pPr>
          </w:p>
        </w:tc>
        <w:tc>
          <w:tcPr>
            <w:tcW w:w="669" w:type="dxa"/>
            <w:vAlign w:val="center"/>
          </w:tcPr>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eastAsia="宋体" w:cs="宋体"/>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w:char="00A8"/>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eastAsia="宋体" w:cs="宋体"/>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rPr>
              <w:t>2021年</w:t>
            </w:r>
            <w:r>
              <w:rPr>
                <w:rFonts w:hint="eastAsia"/>
                <w:lang w:val="en-US" w:eastAsia="zh-CN"/>
              </w:rPr>
              <w:t>7</w:t>
            </w:r>
            <w:r>
              <w:rPr>
                <w:rFonts w:hint="eastAsia"/>
              </w:rPr>
              <w:t>月</w:t>
            </w:r>
            <w:r>
              <w:rPr>
                <w:rFonts w:hint="eastAsia"/>
                <w:lang w:val="en-US" w:eastAsia="zh-CN"/>
              </w:rPr>
              <w:t>20</w:t>
            </w:r>
            <w:r>
              <w:rPr>
                <w:rFonts w:hint="eastAsia"/>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rPr>
              <w:t>2021.04.18</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3" w:name="二阶段审核日期"/>
            <w:r>
              <w:rPr>
                <w:rFonts w:hint="eastAsia" w:ascii="宋体"/>
                <w:b/>
                <w:color w:val="000000"/>
                <w:szCs w:val="21"/>
              </w:rPr>
              <w:t>2021-</w:t>
            </w:r>
            <w:bookmarkEnd w:id="23"/>
            <w:r>
              <w:rPr>
                <w:rFonts w:hint="eastAsia" w:ascii="宋体"/>
                <w:b/>
                <w:color w:val="000000"/>
                <w:szCs w:val="21"/>
                <w:lang w:val="en-US" w:eastAsia="zh-CN"/>
              </w:rPr>
              <w:t>10-9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zCs w:val="21"/>
              </w:rPr>
              <w:t>未</w:t>
            </w:r>
            <w:r>
              <w:rPr>
                <w:rFonts w:hint="eastAsia" w:ascii="宋体" w:hAnsi="宋体"/>
                <w:b/>
                <w:color w:val="000000"/>
                <w:szCs w:val="21"/>
                <w:highlight w:val="none"/>
              </w:rPr>
              <w:t>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59264" behindDoc="1" locked="0" layoutInCell="1" allowOverlap="1">
            <wp:simplePos x="0" y="0"/>
            <wp:positionH relativeFrom="column">
              <wp:posOffset>4488815</wp:posOffset>
            </wp:positionH>
            <wp:positionV relativeFrom="paragraph">
              <wp:posOffset>297180</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1190" cy="42481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0288" behindDoc="1" locked="0" layoutInCell="1" allowOverlap="1">
            <wp:simplePos x="0" y="0"/>
            <wp:positionH relativeFrom="column">
              <wp:posOffset>1738630</wp:posOffset>
            </wp:positionH>
            <wp:positionV relativeFrom="paragraph">
              <wp:posOffset>-165100</wp:posOffset>
            </wp:positionV>
            <wp:extent cx="847725" cy="368300"/>
            <wp:effectExtent l="0" t="0" r="317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7"/>
                    <a:stretch>
                      <a:fillRect/>
                    </a:stretch>
                  </pic:blipFill>
                  <pic:spPr>
                    <a:xfrm>
                      <a:off x="0" y="0"/>
                      <a:ext cx="847725" cy="368300"/>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bookmarkStart w:id="24" w:name="_GoBack"/>
      <w:bookmarkEnd w:id="24"/>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2021.10.8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C8A3082"/>
    <w:rsid w:val="373E60C8"/>
    <w:rsid w:val="63CB70F9"/>
    <w:rsid w:val="6E375480"/>
    <w:rsid w:val="78000E1C"/>
    <w:rsid w:val="7B2711F9"/>
    <w:rsid w:val="7C935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2021-10-09T03:47:21Z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