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河北国全环境工程有限公司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设备、人员不到位导致电路故障，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电力设施安装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1）</w:t>
            </w:r>
            <w:r>
              <w:rPr>
                <w:rFonts w:ascii="Calibri" w:hAnsi="Calibri" w:eastAsia="楷体" w:cs="Calibri"/>
                <w:szCs w:val="21"/>
                <w:shd w:val="clear" w:color="auto" w:fill="FFFFFF"/>
              </w:rPr>
              <w:t> </w:t>
            </w: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 50231-2017</w:t>
            </w:r>
            <w:r>
              <w:rPr>
                <w:rFonts w:hint="eastAsia" w:ascii="楷体" w:hAnsi="楷体" w:eastAsia="楷体" w:cs="楷体"/>
                <w:szCs w:val="21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机械设备安装工程施工及验收通用规范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  <w:r>
              <w:rPr>
                <w:rFonts w:hint="eastAsia" w:ascii="楷体" w:hAnsi="楷体" w:eastAsia="楷体" w:cs="楷体"/>
                <w:szCs w:val="21"/>
              </w:rPr>
              <w:t>）GB50168-2006《电气装置安装工程电缆线路施工及验收规范》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3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GB50275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-2010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压缩机、风机、泵安装工程施工及验收规范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楷体" w:hAnsi="楷体" w:eastAsia="楷体" w:cs="Arial"/>
                <w:szCs w:val="21"/>
                <w:shd w:val="clear" w:color="auto" w:fill="FFFFFF"/>
              </w:rPr>
            </w:pP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4</w:t>
            </w:r>
            <w:r>
              <w:rPr>
                <w:rStyle w:val="10"/>
                <w:rFonts w:hint="eastAsia"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）</w:t>
            </w: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GB50236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 xml:space="preserve">—2011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现场设备、工业管道焊接工程施工规范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 w:firstLineChars="0"/>
              <w:textAlignment w:val="auto"/>
              <w:rPr>
                <w:rFonts w:ascii="楷体" w:hAnsi="楷体" w:eastAsia="楷体" w:cs="Arial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szCs w:val="21"/>
              </w:rPr>
              <w:t>5）</w:t>
            </w: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GB50683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-2011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现场设备、工业管道焊接工程施工质量验收规范》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Style w:val="9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</w:pP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6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）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GB50303-</w:t>
            </w:r>
            <w:r>
              <w:rPr>
                <w:rStyle w:val="9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 xml:space="preserve">2015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Style w:val="9"/>
                <w:rFonts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>建筑电气工程施工质量验收规范</w:t>
            </w:r>
            <w:r>
              <w:rPr>
                <w:rStyle w:val="9"/>
                <w:rFonts w:hint="eastAsia" w:ascii="楷体" w:hAnsi="楷体" w:eastAsia="楷体" w:cs="Arial"/>
                <w:b w:val="0"/>
                <w:bCs w:val="0"/>
                <w:szCs w:val="21"/>
                <w:shd w:val="clear" w:color="auto" w:fill="FFFFFF"/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7</w:t>
            </w:r>
            <w:r>
              <w:rPr>
                <w:rStyle w:val="10"/>
                <w:rFonts w:hint="eastAsia"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）</w:t>
            </w:r>
            <w:r>
              <w:rPr>
                <w:rStyle w:val="10"/>
                <w:rFonts w:ascii="楷体" w:hAnsi="楷体" w:eastAsia="楷体" w:cs="Arial"/>
                <w:i w:val="0"/>
                <w:iCs w:val="0"/>
                <w:szCs w:val="21"/>
                <w:shd w:val="clear" w:color="auto" w:fill="FFFFFF"/>
              </w:rPr>
              <w:t>GB/T10178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 xml:space="preserve">-2006 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《</w:t>
            </w:r>
            <w:r>
              <w:rPr>
                <w:rFonts w:ascii="楷体" w:hAnsi="楷体" w:eastAsia="楷体" w:cs="Arial"/>
                <w:szCs w:val="21"/>
                <w:shd w:val="clear" w:color="auto" w:fill="FFFFFF"/>
              </w:rPr>
              <w:t>工业通风机 现场性能试验.</w:t>
            </w:r>
            <w:r>
              <w:rPr>
                <w:rFonts w:hint="eastAsia" w:ascii="楷体" w:hAnsi="楷体" w:eastAsia="楷体" w:cs="Arial"/>
                <w:szCs w:val="21"/>
                <w:shd w:val="clear" w:color="auto" w:fill="FFFFFF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210185</wp:posOffset>
                  </wp:positionV>
                  <wp:extent cx="641985" cy="327660"/>
                  <wp:effectExtent l="0" t="0" r="5715" b="254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755015</wp:posOffset>
                  </wp:positionH>
                  <wp:positionV relativeFrom="paragraph">
                    <wp:posOffset>183515</wp:posOffset>
                  </wp:positionV>
                  <wp:extent cx="685800" cy="348615"/>
                  <wp:effectExtent l="0" t="0" r="0" b="698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203200</wp:posOffset>
                  </wp:positionV>
                  <wp:extent cx="641985" cy="327660"/>
                  <wp:effectExtent l="0" t="0" r="5715" b="254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4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A247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2021-10-26T02:31:00Z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