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河北国全环境工程有限公司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rFonts w:hint="eastAsia"/>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keepNext w:val="0"/>
              <w:keepLines w:val="0"/>
              <w:pageBreakBefore w:val="0"/>
              <w:kinsoku/>
              <w:wordWrap/>
              <w:overflowPunct/>
              <w:topLinePunct w:val="0"/>
              <w:autoSpaceDE/>
              <w:autoSpaceDN/>
              <w:bidi w:val="0"/>
              <w:adjustRightInd/>
              <w:spacing w:after="0"/>
              <w:textAlignment w:val="auto"/>
              <w:rPr>
                <w:sz w:val="22"/>
                <w:szCs w:val="22"/>
              </w:rPr>
            </w:pPr>
            <w:bookmarkStart w:id="1" w:name="E勾选"/>
            <w:r>
              <w:rPr>
                <w:rFonts w:hint="eastAsia"/>
                <w:sz w:val="22"/>
                <w:szCs w:val="22"/>
                <w:lang w:eastAsia="zh-CN"/>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lang w:val="en-US" w:eastAsia="zh-CN"/>
              </w:rPr>
              <w:t xml:space="preserve">GB/T </w:t>
            </w:r>
            <w:r>
              <w:rPr>
                <w:rFonts w:hint="eastAsia"/>
                <w:sz w:val="22"/>
                <w:szCs w:val="22"/>
              </w:rPr>
              <w:t>45001</w:t>
            </w:r>
            <w:r>
              <w:rPr>
                <w:rFonts w:hint="eastAsia"/>
                <w:sz w:val="22"/>
                <w:szCs w:val="22"/>
                <w:lang w:val="en-US" w:eastAsia="zh-CN"/>
              </w:rPr>
              <w:t>-</w:t>
            </w:r>
            <w:r>
              <w:rPr>
                <w:rFonts w:hint="eastAsia"/>
                <w:sz w:val="22"/>
                <w:szCs w:val="22"/>
              </w:rPr>
              <w:t>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rFonts w:hint="eastAsia" w:eastAsia="宋体"/>
                <w:sz w:val="22"/>
                <w:szCs w:val="22"/>
                <w:lang w:val="en-US" w:eastAsia="zh-CN"/>
              </w:rPr>
            </w:pPr>
            <w:r>
              <w:rPr>
                <w:rFonts w:hint="eastAsia"/>
                <w:sz w:val="22"/>
                <w:szCs w:val="22"/>
                <w:lang w:val="en-US" w:eastAsia="zh-CN"/>
              </w:rPr>
              <w:t xml:space="preserve"> </w:t>
            </w:r>
            <w:bookmarkStart w:id="3" w:name="合同编号"/>
            <w:r>
              <w:rPr>
                <w:rFonts w:hint="eastAsia" w:eastAsia="宋体"/>
                <w:sz w:val="22"/>
                <w:szCs w:val="22"/>
                <w:lang w:val="en-US" w:eastAsia="zh-CN"/>
              </w:rPr>
              <w:t>1004-2021-QJEO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bookmarkStart w:id="4" w:name="初审"/>
            <w:r>
              <w:rPr>
                <w:rFonts w:hint="eastAsia"/>
                <w:sz w:val="22"/>
                <w:szCs w:val="22"/>
              </w:rPr>
              <w:t>■</w:t>
            </w:r>
            <w:bookmarkEnd w:id="4"/>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5" w:name="监督次数"/>
            <w:bookmarkEnd w:id="5"/>
            <w:r>
              <w:rPr>
                <w:rFonts w:hint="eastAsia"/>
                <w:sz w:val="22"/>
                <w:szCs w:val="22"/>
                <w:lang w:val="en-US" w:eastAsia="zh-CN"/>
              </w:rPr>
              <w:t>2</w:t>
            </w:r>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keepNext w:val="0"/>
              <w:keepLines w:val="0"/>
              <w:pageBreakBefore w:val="0"/>
              <w:kinsoku/>
              <w:wordWrap/>
              <w:overflowPunct/>
              <w:topLinePunct w:val="0"/>
              <w:autoSpaceDE/>
              <w:autoSpaceDN/>
              <w:bidi w:val="0"/>
              <w:adjustRightInd/>
              <w:spacing w:after="0"/>
              <w:jc w:val="center"/>
              <w:textAlignment w:val="auto"/>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keepNext w:val="0"/>
              <w:keepLines w:val="0"/>
              <w:pageBreakBefore w:val="0"/>
              <w:kinsoku/>
              <w:wordWrap/>
              <w:overflowPunct/>
              <w:topLinePunct w:val="0"/>
              <w:autoSpaceDE/>
              <w:autoSpaceDN/>
              <w:bidi w:val="0"/>
              <w:adjustRightInd/>
              <w:spacing w:after="0"/>
              <w:jc w:val="center"/>
              <w:textAlignment w:val="auto"/>
              <w:rPr>
                <w:sz w:val="20"/>
                <w:lang w:val="de-DE"/>
              </w:rPr>
            </w:pPr>
            <w:r>
              <w:rPr>
                <w:sz w:val="20"/>
                <w:lang w:val="de-DE"/>
              </w:rPr>
              <w:t>2019-N1QMS-1244880</w:t>
            </w:r>
          </w:p>
          <w:p>
            <w:pPr>
              <w:keepNext w:val="0"/>
              <w:keepLines w:val="0"/>
              <w:pageBreakBefore w:val="0"/>
              <w:kinsoku/>
              <w:wordWrap/>
              <w:overflowPunct/>
              <w:topLinePunct w:val="0"/>
              <w:autoSpaceDE/>
              <w:autoSpaceDN/>
              <w:bidi w:val="0"/>
              <w:adjustRightInd/>
              <w:spacing w:after="0"/>
              <w:jc w:val="center"/>
              <w:textAlignment w:val="auto"/>
              <w:rPr>
                <w:sz w:val="20"/>
                <w:lang w:val="de-DE"/>
              </w:rPr>
            </w:pPr>
            <w:r>
              <w:rPr>
                <w:sz w:val="20"/>
                <w:lang w:val="de-DE"/>
              </w:rPr>
              <w:t>2021-N0EMS-1244880</w:t>
            </w:r>
          </w:p>
          <w:p>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Times New Roman"/>
                <w:kern w:val="2"/>
                <w:sz w:val="20"/>
                <w:lang w:val="de-DE" w:eastAsia="zh-CN" w:bidi="ar-SA"/>
              </w:rPr>
            </w:pPr>
            <w:r>
              <w:rPr>
                <w:sz w:val="20"/>
                <w:lang w:val="de-DE"/>
              </w:rPr>
              <w:t>长城建设集团有限公司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keepNext w:val="0"/>
              <w:keepLines w:val="0"/>
              <w:pageBreakBefore w:val="0"/>
              <w:kinsoku/>
              <w:wordWrap/>
              <w:overflowPunct/>
              <w:topLinePunct w:val="0"/>
              <w:autoSpaceDE/>
              <w:autoSpaceDN/>
              <w:bidi w:val="0"/>
              <w:adjustRightInd/>
              <w:spacing w:after="0"/>
              <w:jc w:val="center"/>
              <w:textAlignment w:val="auto"/>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keepNext w:val="0"/>
              <w:keepLines w:val="0"/>
              <w:pageBreakBefore w:val="0"/>
              <w:kinsoku/>
              <w:wordWrap/>
              <w:overflowPunct/>
              <w:topLinePunct w:val="0"/>
              <w:autoSpaceDE/>
              <w:autoSpaceDN/>
              <w:bidi w:val="0"/>
              <w:adjustRightInd/>
              <w:spacing w:after="0"/>
              <w:jc w:val="center"/>
              <w:textAlignment w:val="auto"/>
              <w:rPr>
                <w:sz w:val="20"/>
                <w:lang w:val="de-DE"/>
              </w:rPr>
            </w:pPr>
            <w:r>
              <w:rPr>
                <w:sz w:val="20"/>
                <w:lang w:val="de-DE"/>
              </w:rPr>
              <w:t>2020-N1EMS-3022240</w:t>
            </w:r>
          </w:p>
          <w:p>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8" w:name="_GoBack"/>
      <w:bookmarkEnd w:id="8"/>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CA53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2021-10-11T02:17:07Z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