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1004-2021-QJEO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河北国全环境工程有限公司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河北国全环境工程有限公司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河北省石家庄市裕华区金马路65号财智大厦B座417室</w:t>
            </w:r>
            <w:bookmarkEnd w:id="5"/>
          </w:p>
        </w:tc>
        <w:tc>
          <w:tcPr>
            <w:tcW w:w="1242" w:type="dxa"/>
            <w:vMerge w:val="restart"/>
            <w:vAlign w:val="center"/>
          </w:tcPr>
          <w:p>
            <w:r>
              <w:rPr>
                <w:rFonts w:hint="eastAsia"/>
              </w:rPr>
              <w:t>邮编</w:t>
            </w:r>
          </w:p>
        </w:tc>
        <w:tc>
          <w:tcPr>
            <w:tcW w:w="1771" w:type="dxa"/>
          </w:tcPr>
          <w:p>
            <w:bookmarkStart w:id="6" w:name="注册邮编"/>
            <w:r>
              <w:t>050000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河北省石家庄市裕华区金马路65号财智大厦B座417室</w:t>
            </w:r>
            <w:bookmarkEnd w:id="7"/>
          </w:p>
        </w:tc>
        <w:tc>
          <w:tcPr>
            <w:tcW w:w="1242" w:type="dxa"/>
            <w:vMerge w:val="continue"/>
            <w:vAlign w:val="center"/>
          </w:tcPr>
          <w:p/>
        </w:tc>
        <w:tc>
          <w:tcPr>
            <w:tcW w:w="1771" w:type="dxa"/>
          </w:tcPr>
          <w:p>
            <w:bookmarkStart w:id="8" w:name="办公邮编"/>
            <w: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赵贵阳</w:t>
            </w:r>
            <w:bookmarkEnd w:id="9"/>
          </w:p>
        </w:tc>
        <w:tc>
          <w:tcPr>
            <w:tcW w:w="1313" w:type="dxa"/>
            <w:vAlign w:val="center"/>
          </w:tcPr>
          <w:p>
            <w:r>
              <w:rPr>
                <w:rFonts w:hint="eastAsia"/>
              </w:rPr>
              <w:t>电话.</w:t>
            </w:r>
          </w:p>
        </w:tc>
        <w:tc>
          <w:tcPr>
            <w:tcW w:w="2180" w:type="dxa"/>
            <w:vAlign w:val="center"/>
          </w:tcPr>
          <w:p>
            <w:bookmarkStart w:id="10" w:name="联系人电话"/>
            <w:r>
              <w:t>13613286606</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杜长青</w:t>
            </w:r>
            <w:bookmarkEnd w:id="12"/>
          </w:p>
        </w:tc>
        <w:tc>
          <w:tcPr>
            <w:tcW w:w="1313" w:type="dxa"/>
            <w:vAlign w:val="center"/>
          </w:tcPr>
          <w:p>
            <w:r>
              <w:rPr>
                <w:rFonts w:hint="eastAsia"/>
              </w:rPr>
              <w:t>管理者代表</w:t>
            </w:r>
          </w:p>
        </w:tc>
        <w:tc>
          <w:tcPr>
            <w:tcW w:w="2180" w:type="dxa"/>
          </w:tcPr>
          <w:p>
            <w:bookmarkStart w:id="13" w:name="管理者代表"/>
            <w:r>
              <w:t>赵贵阳</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szCs w:val="21"/>
              </w:rPr>
              <w:t>开槽</w:t>
            </w:r>
            <w:r>
              <w:rPr>
                <w:rFonts w:ascii="楷体" w:hAnsi="楷体" w:eastAsia="楷体"/>
                <w:szCs w:val="21"/>
              </w:rPr>
              <w:t>—</w:t>
            </w:r>
            <w:r>
              <w:rPr>
                <w:rFonts w:hint="eastAsia" w:ascii="楷体" w:hAnsi="楷体" w:eastAsia="楷体"/>
                <w:szCs w:val="21"/>
              </w:rPr>
              <w:t>基础处理</w:t>
            </w:r>
            <w:r>
              <w:rPr>
                <w:rFonts w:ascii="楷体" w:hAnsi="楷体" w:eastAsia="楷体"/>
                <w:szCs w:val="21"/>
              </w:rPr>
              <w:t>—</w:t>
            </w:r>
            <w:r>
              <w:rPr>
                <w:rFonts w:hint="eastAsia" w:ascii="楷体" w:hAnsi="楷体" w:eastAsia="楷体"/>
                <w:szCs w:val="21"/>
              </w:rPr>
              <w:t>安装罐体</w:t>
            </w:r>
            <w:r>
              <w:rPr>
                <w:rFonts w:ascii="楷体" w:hAnsi="楷体" w:eastAsia="楷体"/>
                <w:szCs w:val="21"/>
              </w:rPr>
              <w:t>—</w:t>
            </w:r>
            <w:r>
              <w:rPr>
                <w:rFonts w:hint="eastAsia" w:ascii="楷体" w:hAnsi="楷体" w:eastAsia="楷体"/>
                <w:szCs w:val="21"/>
              </w:rPr>
              <w:t>管道安装</w:t>
            </w:r>
            <w:r>
              <w:rPr>
                <w:rFonts w:ascii="楷体" w:hAnsi="楷体" w:eastAsia="楷体"/>
                <w:szCs w:val="21"/>
              </w:rPr>
              <w:t>—</w:t>
            </w:r>
            <w:r>
              <w:rPr>
                <w:rFonts w:hint="eastAsia" w:ascii="楷体" w:hAnsi="楷体" w:eastAsia="楷体"/>
                <w:szCs w:val="21"/>
              </w:rPr>
              <w:t>回填土</w:t>
            </w:r>
            <w:r>
              <w:rPr>
                <w:rFonts w:ascii="楷体" w:hAnsi="楷体" w:eastAsia="楷体"/>
                <w:szCs w:val="21"/>
              </w:rPr>
              <w:t>—</w:t>
            </w:r>
            <w:r>
              <w:rPr>
                <w:rFonts w:hint="eastAsia" w:ascii="楷体" w:hAnsi="楷体" w:eastAsia="楷体"/>
                <w:szCs w:val="21"/>
              </w:rPr>
              <w:t>控制房安装（含配电装置、风机、加药装置）-</w:t>
            </w:r>
            <w:r>
              <w:rPr>
                <w:rFonts w:ascii="楷体" w:hAnsi="楷体" w:eastAsia="楷体"/>
                <w:szCs w:val="21"/>
              </w:rPr>
              <w:t>-</w:t>
            </w:r>
            <w:r>
              <w:rPr>
                <w:rFonts w:hint="eastAsia" w:ascii="楷体" w:hAnsi="楷体" w:eastAsia="楷体"/>
                <w:szCs w:val="21"/>
              </w:rPr>
              <w:t>除臭塔安装-</w:t>
            </w:r>
            <w:r>
              <w:rPr>
                <w:rFonts w:ascii="楷体" w:hAnsi="楷体" w:eastAsia="楷体"/>
                <w:szCs w:val="21"/>
              </w:rPr>
              <w:t>-</w:t>
            </w:r>
            <w:r>
              <w:rPr>
                <w:rFonts w:hint="eastAsia" w:ascii="楷体" w:hAnsi="楷体" w:eastAsia="楷体"/>
                <w:szCs w:val="21"/>
              </w:rPr>
              <w:t>测试</w:t>
            </w:r>
            <w:r>
              <w:rPr>
                <w:rFonts w:ascii="楷体" w:hAnsi="楷体" w:eastAsia="楷体"/>
                <w:szCs w:val="21"/>
              </w:rPr>
              <w:t>—</w:t>
            </w:r>
            <w:r>
              <w:rPr>
                <w:rFonts w:hint="eastAsia" w:ascii="楷体" w:hAnsi="楷体" w:eastAsia="楷体"/>
                <w:szCs w:val="21"/>
              </w:rPr>
              <w:t>验收</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2021年10月13日 上午至2021年10月16日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6" w:name="办公地址"/>
            <w:r>
              <w:rPr>
                <w:rFonts w:ascii="宋体"/>
                <w:b/>
                <w:color w:val="000000"/>
                <w:szCs w:val="21"/>
              </w:rPr>
              <w:t>河北省石家庄市裕华区金马路65号财智大厦B座417室</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EC：资质范围内环保工程专业承包</w:t>
            </w:r>
          </w:p>
          <w:p>
            <w:r>
              <w:t>E：资质范围内环保工程专业承包所涉及场所的相关环境管理活动</w:t>
            </w:r>
          </w:p>
          <w:p>
            <w:r>
              <w:t>O：资质范围内环保工程专业承包所涉及场所的相关职业健康安全管理活动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EC：28.07.03</w:t>
            </w:r>
          </w:p>
          <w:p>
            <w:r>
              <w:t>E：28.07.03</w:t>
            </w:r>
          </w:p>
          <w:p>
            <w:r>
              <w:t>O：28.07.03</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68"/>
        <w:gridCol w:w="609"/>
        <w:gridCol w:w="2091"/>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6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09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河北国全环境工程有限公司</w:t>
            </w:r>
            <w:r>
              <w:rPr>
                <w:rFonts w:hint="eastAsia"/>
                <w:sz w:val="21"/>
                <w:szCs w:val="21"/>
                <w:lang w:val="en-US" w:eastAsia="zh-CN"/>
              </w:rPr>
              <w:t>/</w:t>
            </w:r>
            <w:r>
              <w:rPr>
                <w:sz w:val="21"/>
                <w:szCs w:val="21"/>
              </w:rPr>
              <w:t>金马路65号财智大厦B座417室</w:t>
            </w:r>
          </w:p>
        </w:tc>
        <w:tc>
          <w:tcPr>
            <w:tcW w:w="1868" w:type="dxa"/>
          </w:tcPr>
          <w:p>
            <w:pPr>
              <w:spacing w:before="40" w:after="40"/>
              <w:rPr>
                <w:rFonts w:eastAsia="黑体"/>
                <w:szCs w:val="21"/>
                <w:lang w:val="de-DE" w:eastAsia="ja-JP"/>
              </w:rPr>
            </w:pPr>
            <w:r>
              <w:rPr>
                <w:sz w:val="21"/>
                <w:szCs w:val="21"/>
              </w:rPr>
              <w:t>金马路65号财智大厦B座417室</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13</w:t>
            </w:r>
          </w:p>
        </w:tc>
        <w:tc>
          <w:tcPr>
            <w:tcW w:w="2091" w:type="dxa"/>
            <w:vAlign w:val="center"/>
          </w:tcPr>
          <w:p>
            <w:pPr>
              <w:pStyle w:val="21"/>
              <w:rPr>
                <w:rFonts w:eastAsia="黑体" w:cs="Arial"/>
                <w:sz w:val="21"/>
                <w:szCs w:val="21"/>
                <w:lang w:val="en-US" w:eastAsia="ja-JP"/>
              </w:rPr>
            </w:pPr>
            <w:r>
              <w:rPr>
                <w:sz w:val="21"/>
                <w:szCs w:val="21"/>
              </w:rPr>
              <w:t>资质范围内环保工程专业承包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hint="default" w:eastAsia="黑体"/>
                <w:szCs w:val="21"/>
                <w:lang w:val="en-US" w:eastAsia="zh-CN"/>
              </w:rPr>
            </w:pPr>
            <w:r>
              <w:rPr>
                <w:rFonts w:hint="eastAsia" w:eastAsia="黑体"/>
                <w:szCs w:val="21"/>
                <w:lang w:val="en-US" w:eastAsia="zh-CN"/>
              </w:rPr>
              <w:t>临时场所</w:t>
            </w:r>
          </w:p>
        </w:tc>
        <w:tc>
          <w:tcPr>
            <w:tcW w:w="1868" w:type="dxa"/>
            <w:vAlign w:val="center"/>
          </w:tcPr>
          <w:p>
            <w:pPr>
              <w:spacing w:before="40" w:after="40"/>
              <w:rPr>
                <w:rFonts w:hint="default" w:eastAsia="黑体"/>
                <w:szCs w:val="21"/>
                <w:lang w:val="en-US" w:eastAsia="zh-CN"/>
              </w:rPr>
            </w:pPr>
            <w:r>
              <w:rPr>
                <w:rFonts w:hint="eastAsia" w:eastAsia="黑体"/>
                <w:szCs w:val="21"/>
                <w:lang w:val="en-US" w:eastAsia="zh-CN"/>
              </w:rPr>
              <w:t>无极县203省道</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091" w:type="dxa"/>
            <w:vAlign w:val="center"/>
          </w:tcPr>
          <w:p>
            <w:pPr>
              <w:spacing w:before="40" w:after="40"/>
              <w:rPr>
                <w:rFonts w:eastAsia="黑体"/>
                <w:szCs w:val="21"/>
                <w:lang w:eastAsia="ja-JP"/>
              </w:rPr>
            </w:pPr>
            <w:r>
              <w:rPr>
                <w:sz w:val="21"/>
                <w:szCs w:val="21"/>
              </w:rPr>
              <w:t>资质范围内环保工程专业承包</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spacing w:before="40" w:after="40"/>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hint="default" w:ascii="Arial" w:hAnsi="Arial" w:eastAsia="黑体" w:cs="Arial"/>
              <w:szCs w:val="21"/>
            </w:rPr>
            <w:id w:val="1360237495"/>
          </w:sdtPr>
          <w:sdtEndPr>
            <w:rPr>
              <w:rFonts w:hint="default" w:ascii="Arial" w:hAnsi="Arial" w:eastAsia="黑体" w:cs="Arial"/>
              <w:szCs w:val="21"/>
            </w:rPr>
          </w:sdtEndPr>
          <w:sdtContent>
            <w:tc>
              <w:tcPr>
                <w:tcW w:w="668" w:type="dxa"/>
                <w:shd w:val="clear" w:color="auto" w:fill="FFFFFF"/>
              </w:tcPr>
              <w:p>
                <w:pPr>
                  <w:rPr>
                    <w:rFonts w:eastAsia="黑体"/>
                    <w:szCs w:val="21"/>
                  </w:rPr>
                </w:pPr>
                <w:r>
                  <w:rPr>
                    <w:rFonts w:eastAsia="黑体"/>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2021-N0EMS-1244880</w:t>
            </w:r>
          </w:p>
          <w:p>
            <w:r>
              <w:t>长城建设集团有限公司</w:t>
            </w:r>
          </w:p>
        </w:tc>
        <w:tc>
          <w:tcPr>
            <w:tcW w:w="2179" w:type="dxa"/>
            <w:vAlign w:val="center"/>
          </w:tcPr>
          <w:p>
            <w:r>
              <w:t>EC:28.07.03</w:t>
            </w:r>
          </w:p>
          <w:p>
            <w:r>
              <w:t>E:28.07.03</w:t>
            </w:r>
          </w:p>
          <w:p>
            <w:r>
              <w:t>O:28.07.03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2336" behindDoc="0" locked="0" layoutInCell="1" allowOverlap="1">
                  <wp:simplePos x="0" y="0"/>
                  <wp:positionH relativeFrom="column">
                    <wp:posOffset>753745</wp:posOffset>
                  </wp:positionH>
                  <wp:positionV relativeFrom="paragraph">
                    <wp:posOffset>14605</wp:posOffset>
                  </wp:positionV>
                  <wp:extent cx="685800" cy="348615"/>
                  <wp:effectExtent l="0" t="0" r="0" b="698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r>
              <w:drawing>
                <wp:anchor distT="0" distB="0" distL="114300" distR="114300" simplePos="0" relativeHeight="251660288" behindDoc="0" locked="0" layoutInCell="1" allowOverlap="1">
                  <wp:simplePos x="0" y="0"/>
                  <wp:positionH relativeFrom="column">
                    <wp:posOffset>-3175</wp:posOffset>
                  </wp:positionH>
                  <wp:positionV relativeFrom="paragraph">
                    <wp:posOffset>41910</wp:posOffset>
                  </wp:positionV>
                  <wp:extent cx="641985" cy="327660"/>
                  <wp:effectExtent l="0" t="0" r="5715" b="2540"/>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641985" cy="3276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2021年10月16日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尽职守法，关爱环境，预控风险，节能降耗，以人为本，关注顾客，优质服务，持续改进</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相关方沟通、施工服务策划、采购、进行验证、原料备件贮存防护、施工技术准备、电力消耗、污染源监测、体系运行等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tabs>
                <w:tab w:val="left" w:pos="840"/>
                <w:tab w:val="left" w:pos="1260"/>
              </w:tabs>
              <w:autoSpaceDE w:val="0"/>
              <w:autoSpaceDN w:val="0"/>
              <w:adjustRightInd w:val="0"/>
              <w:spacing w:line="360" w:lineRule="auto"/>
              <w:ind w:left="454"/>
              <w:rPr>
                <w:rFonts w:ascii="宋体"/>
                <w:kern w:val="0"/>
                <w:lang w:val="zh-CN"/>
              </w:rPr>
            </w:pPr>
            <w:r>
              <w:rPr>
                <w:rFonts w:ascii="宋体"/>
                <w:kern w:val="0"/>
                <w:lang w:val="zh-CN"/>
              </w:rPr>
              <w:t>a)</w:t>
            </w:r>
            <w:r>
              <w:rPr>
                <w:rFonts w:hint="eastAsia" w:ascii="宋体"/>
                <w:kern w:val="0"/>
                <w:lang w:val="zh-CN"/>
              </w:rPr>
              <w:t>工程竣工验收一次合格率为</w:t>
            </w:r>
            <w:r>
              <w:rPr>
                <w:rFonts w:ascii="宋体"/>
                <w:kern w:val="0"/>
                <w:lang w:val="zh-CN"/>
              </w:rPr>
              <w:t>100%</w:t>
            </w:r>
            <w:r>
              <w:rPr>
                <w:rFonts w:hint="eastAsia" w:ascii="宋体"/>
                <w:kern w:val="0"/>
                <w:lang w:val="zh-CN"/>
              </w:rPr>
              <w:t>；</w:t>
            </w:r>
          </w:p>
          <w:p>
            <w:pPr>
              <w:tabs>
                <w:tab w:val="left" w:pos="840"/>
                <w:tab w:val="left" w:pos="1260"/>
              </w:tabs>
              <w:autoSpaceDE w:val="0"/>
              <w:autoSpaceDN w:val="0"/>
              <w:adjustRightInd w:val="0"/>
              <w:spacing w:line="360" w:lineRule="auto"/>
              <w:ind w:left="454"/>
              <w:rPr>
                <w:rFonts w:ascii="宋体"/>
                <w:kern w:val="0"/>
                <w:lang w:val="zh-CN"/>
              </w:rPr>
            </w:pPr>
            <w:r>
              <w:rPr>
                <w:rFonts w:ascii="宋体"/>
                <w:kern w:val="0"/>
                <w:lang w:val="zh-CN"/>
              </w:rPr>
              <w:t>b)</w:t>
            </w:r>
            <w:r>
              <w:rPr>
                <w:rFonts w:hint="eastAsia" w:ascii="宋体"/>
                <w:kern w:val="0"/>
                <w:lang w:val="zh-CN"/>
              </w:rPr>
              <w:t>顾客满意率达</w:t>
            </w:r>
            <w:r>
              <w:rPr>
                <w:rFonts w:ascii="宋体"/>
                <w:kern w:val="0"/>
                <w:lang w:val="zh-CN"/>
              </w:rPr>
              <w:t>90%</w:t>
            </w:r>
            <w:r>
              <w:rPr>
                <w:rFonts w:hint="eastAsia" w:ascii="宋体"/>
                <w:kern w:val="0"/>
                <w:lang w:val="zh-CN"/>
              </w:rPr>
              <w:t>以上；</w:t>
            </w:r>
          </w:p>
          <w:p>
            <w:pPr>
              <w:tabs>
                <w:tab w:val="left" w:pos="1260"/>
              </w:tabs>
              <w:autoSpaceDE w:val="0"/>
              <w:autoSpaceDN w:val="0"/>
              <w:adjustRightInd w:val="0"/>
              <w:spacing w:line="360" w:lineRule="auto"/>
              <w:ind w:left="454"/>
              <w:rPr>
                <w:rFonts w:ascii="宋体"/>
                <w:kern w:val="0"/>
                <w:lang w:val="zh-CN"/>
              </w:rPr>
            </w:pPr>
            <w:r>
              <w:rPr>
                <w:rFonts w:ascii="宋体"/>
                <w:kern w:val="0"/>
                <w:lang w:val="zh-CN"/>
              </w:rPr>
              <w:t>c)</w:t>
            </w:r>
            <w:r>
              <w:rPr>
                <w:rFonts w:hint="eastAsia" w:ascii="宋体"/>
                <w:kern w:val="0"/>
                <w:lang w:val="zh-CN"/>
              </w:rPr>
              <w:t>工程合同履约率</w:t>
            </w:r>
            <w:r>
              <w:rPr>
                <w:rFonts w:ascii="宋体"/>
                <w:kern w:val="0"/>
                <w:lang w:val="zh-CN"/>
              </w:rPr>
              <w:t>100%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230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szCs w:val="21"/>
              </w:rPr>
              <w:t>移动式汽油发电机、电焊机、手板葫芦、切割机、钩机、翻斗车</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lang w:val="en-US" w:eastAsia="zh-CN"/>
              </w:rPr>
              <w:t>自校、</w:t>
            </w:r>
            <w:r>
              <w:rPr>
                <w:rFonts w:hint="eastAsia"/>
              </w:rPr>
              <w:t>¨外校   ¨其他</w:t>
            </w:r>
          </w:p>
          <w:p>
            <w:pPr>
              <w:pStyle w:val="12"/>
            </w:pPr>
            <w:r>
              <w:rPr>
                <w:rFonts w:hint="eastAsia"/>
              </w:rPr>
              <w:t>计量器具管理：</w:t>
            </w:r>
            <w:r>
              <w:rPr>
                <w:rFonts w:hint="eastAsia" w:ascii="Wingdings" w:hAnsi="Wingdings"/>
              </w:rPr>
              <w:t>¨</w:t>
            </w:r>
            <w:r>
              <w:rPr>
                <w:rFonts w:hint="eastAsia"/>
              </w:rPr>
              <w:t>进行了定期校准/检定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电工、焊工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设备租赁</w:t>
            </w:r>
          </w:p>
          <w:p>
            <w:pPr>
              <w:shd w:val="clear" w:color="auto" w:fill="C7DAF1" w:themeFill="text2" w:themeFillTint="32"/>
              <w:jc w:val="left"/>
            </w:pPr>
            <w:r>
              <w:rPr>
                <w:rFonts w:hint="eastAsia"/>
                <w:lang w:val="en-US" w:eastAsia="zh-CN"/>
              </w:rPr>
              <w:t>未</w:t>
            </w:r>
            <w:r>
              <w:rPr>
                <w:rFonts w:hint="eastAsia"/>
              </w:rPr>
              <w:t>提供</w:t>
            </w:r>
            <w:r>
              <w:rPr>
                <w:rFonts w:hint="eastAsia"/>
                <w:lang w:val="en-US" w:eastAsia="zh-CN"/>
              </w:rPr>
              <w:t>对</w:t>
            </w:r>
            <w:r>
              <w:rPr>
                <w:rFonts w:hint="eastAsia"/>
              </w:rPr>
              <w:t>外</w:t>
            </w:r>
            <w:r>
              <w:rPr>
                <w:rFonts w:hint="eastAsia"/>
                <w:lang w:val="en-US" w:eastAsia="zh-CN"/>
              </w:rPr>
              <w:t>包</w:t>
            </w:r>
            <w:r>
              <w:rPr>
                <w:rFonts w:hint="eastAsia"/>
              </w:rPr>
              <w:t>方</w:t>
            </w:r>
            <w:r>
              <w:rPr>
                <w:rFonts w:hint="eastAsia"/>
                <w:lang w:val="en-US" w:eastAsia="zh-CN"/>
              </w:rPr>
              <w:t>实施了评审的证据，已开具不符合报告。</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ascii="宋体"/>
                <w:color w:val="000000"/>
                <w:spacing w:val="-10"/>
                <w:szCs w:val="21"/>
                <w:u w:val="single"/>
                <w:lang w:val="en-US" w:eastAsia="zh-CN"/>
              </w:rPr>
              <w:t>设备安装（</w:t>
            </w:r>
            <w:r>
              <w:rPr>
                <w:rFonts w:hint="eastAsia" w:ascii="楷体" w:hAnsi="楷体" w:eastAsia="楷体"/>
                <w:szCs w:val="21"/>
                <w:u w:val="single"/>
              </w:rPr>
              <w:t>基础处理、罐体安装、管道安装</w:t>
            </w:r>
            <w:r>
              <w:rPr>
                <w:rFonts w:hint="eastAsia" w:ascii="宋体"/>
                <w:color w:val="000000"/>
                <w:spacing w:val="-10"/>
                <w:szCs w:val="21"/>
                <w:u w:val="single"/>
                <w:lang w:val="en-US" w:eastAsia="zh-CN"/>
              </w:rPr>
              <w:t>）</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8-9</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16</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尽职守法，关爱环境，预控风险，节能降耗，以人为本，关注顾客，优质服务，持续改进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ascii="Times New Roman" w:hAnsi="Times New Roman" w:eastAsia="宋体" w:cs="Times New Roman"/>
              </w:rPr>
            </w:pPr>
            <w:r>
              <w:rPr>
                <w:rFonts w:hint="eastAsia"/>
              </w:rPr>
              <w:t>环</w:t>
            </w:r>
            <w:r>
              <w:rPr>
                <w:rFonts w:hint="eastAsia" w:ascii="Times New Roman" w:hAnsi="Times New Roman" w:eastAsia="宋体" w:cs="Times New Roman"/>
              </w:rPr>
              <w:t>境总目标：</w:t>
            </w:r>
            <w:r>
              <w:rPr>
                <w:rFonts w:ascii="Times New Roman" w:hAnsi="Times New Roman" w:eastAsia="宋体" w:cs="Times New Roman"/>
                <w:lang w:val="zh-CN"/>
              </w:rPr>
              <w:t>a)</w:t>
            </w:r>
            <w:r>
              <w:rPr>
                <w:rFonts w:hint="eastAsia" w:ascii="Times New Roman" w:hAnsi="Times New Roman" w:eastAsia="宋体" w:cs="Times New Roman"/>
                <w:lang w:val="zh-CN"/>
              </w:rPr>
              <w:t>施工现场噪声符合国家标准；</w:t>
            </w:r>
            <w:r>
              <w:rPr>
                <w:rFonts w:ascii="Times New Roman" w:hAnsi="Times New Roman" w:eastAsia="宋体" w:cs="Times New Roman"/>
                <w:lang w:val="zh-CN"/>
              </w:rPr>
              <w:t>b)</w:t>
            </w:r>
            <w:r>
              <w:rPr>
                <w:rFonts w:hint="eastAsia" w:ascii="Times New Roman" w:hAnsi="Times New Roman" w:eastAsia="宋体" w:cs="Times New Roman"/>
                <w:lang w:val="zh-CN"/>
              </w:rPr>
              <w:t>固体废弃物</w:t>
            </w:r>
            <w:r>
              <w:rPr>
                <w:rFonts w:ascii="Times New Roman" w:hAnsi="Times New Roman" w:eastAsia="宋体" w:cs="Times New Roman"/>
                <w:lang w:val="zh-CN"/>
              </w:rPr>
              <w:t>100%</w:t>
            </w:r>
            <w:r>
              <w:rPr>
                <w:rFonts w:hint="eastAsia" w:ascii="Times New Roman" w:hAnsi="Times New Roman" w:eastAsia="宋体" w:cs="Times New Roman"/>
                <w:lang w:val="zh-CN"/>
              </w:rPr>
              <w:t>合规处理，无固废污染；</w:t>
            </w:r>
            <w:r>
              <w:rPr>
                <w:rFonts w:ascii="Times New Roman" w:hAnsi="Times New Roman" w:eastAsia="宋体" w:cs="Times New Roman"/>
                <w:lang w:val="zh-CN"/>
              </w:rPr>
              <w:t>c)</w:t>
            </w:r>
            <w:r>
              <w:rPr>
                <w:rFonts w:hint="eastAsia" w:ascii="Times New Roman" w:hAnsi="Times New Roman" w:eastAsia="宋体" w:cs="Times New Roman"/>
                <w:lang w:val="zh-CN"/>
              </w:rPr>
              <w:t>杜绝火灾事件发生；</w:t>
            </w:r>
            <w:r>
              <w:rPr>
                <w:rFonts w:ascii="Times New Roman" w:hAnsi="Times New Roman" w:eastAsia="宋体" w:cs="Times New Roman"/>
                <w:lang w:val="zh-CN"/>
              </w:rPr>
              <w:t>d)</w:t>
            </w:r>
            <w:r>
              <w:rPr>
                <w:rFonts w:hint="eastAsia" w:ascii="Times New Roman" w:hAnsi="Times New Roman" w:eastAsia="宋体" w:cs="Times New Roman"/>
                <w:lang w:val="zh-CN"/>
              </w:rPr>
              <w:t>重大环境污染事件为零</w:t>
            </w:r>
            <w:r>
              <w:rPr>
                <w:rFonts w:hint="eastAsia" w:ascii="Times New Roman" w:hAnsi="Times New Roman" w:eastAsia="宋体" w:cs="Times New Roman"/>
              </w:rPr>
              <w:t>。</w:t>
            </w:r>
          </w:p>
          <w:p>
            <w:pPr>
              <w:shd w:val="clear" w:color="auto" w:fill="EBF1DE" w:themeFill="accent3" w:themeFillTint="32"/>
            </w:pP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230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rPr>
              <w:t>个；</w:t>
            </w:r>
          </w:p>
          <w:p>
            <w:pPr>
              <w:shd w:val="clear" w:color="auto" w:fill="EBF1DE" w:themeFill="accent3" w:themeFillTint="32"/>
              <w:rPr>
                <w:rFonts w:hint="eastAsia"/>
                <w:color w:val="000000"/>
                <w:u w:val="single"/>
                <w:lang w:val="en-US" w:eastAsia="zh-CN"/>
              </w:rPr>
            </w:pPr>
            <w:r>
              <w:rPr>
                <w:rFonts w:hint="eastAsia"/>
              </w:rPr>
              <w:t>主要生产设备有：</w:t>
            </w:r>
            <w:r>
              <w:rPr>
                <w:rFonts w:hint="eastAsia"/>
                <w:u w:val="single"/>
              </w:rPr>
              <w:t xml:space="preserve"> </w:t>
            </w:r>
            <w:r>
              <w:rPr>
                <w:rFonts w:hint="eastAsia" w:ascii="楷体" w:hAnsi="楷体" w:eastAsia="楷体"/>
                <w:szCs w:val="21"/>
              </w:rPr>
              <w:t>电焊机、手板葫芦、切割机、钩机、翻斗车</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w:t>
            </w:r>
            <w:r>
              <w:rPr>
                <w:rFonts w:hint="eastAsia"/>
                <w:u w:val="single"/>
                <w:lang w:val="en-US" w:eastAsia="zh-CN"/>
              </w:rPr>
              <w:t>移动式焊烟接收器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无</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val="en-US" w:eastAsia="zh-CN"/>
              </w:rPr>
              <w:t>电工、焊工</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设备租赁</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6</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22</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7</w:t>
            </w:r>
            <w:r>
              <w:rPr>
                <w:rFonts w:hint="eastAsia" w:ascii="楷体" w:hAnsi="楷体" w:eastAsia="楷体"/>
                <w:szCs w:val="21"/>
              </w:rPr>
              <w:t>月</w:t>
            </w:r>
            <w:r>
              <w:rPr>
                <w:rFonts w:hint="eastAsia" w:ascii="楷体" w:hAnsi="楷体" w:eastAsia="楷体"/>
                <w:szCs w:val="21"/>
                <w:lang w:val="en-US" w:eastAsia="zh-CN"/>
              </w:rPr>
              <w:t>8-9</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7</w:t>
            </w:r>
            <w:r>
              <w:rPr>
                <w:rFonts w:hint="eastAsia" w:ascii="楷体" w:hAnsi="楷体" w:eastAsia="楷体"/>
                <w:lang w:eastAsia="zh-CN"/>
              </w:rPr>
              <w:t>月</w:t>
            </w:r>
            <w:r>
              <w:rPr>
                <w:rFonts w:hint="eastAsia" w:ascii="楷体" w:hAnsi="楷体" w:eastAsia="楷体"/>
                <w:lang w:val="en-US" w:eastAsia="zh-CN"/>
              </w:rPr>
              <w:t>16</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尽职守法，关爱环境，预控风险，节能降耗，以人为本，关注顾客，优质服务，持续改进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ascii="Times New Roman" w:hAnsi="Times New Roman" w:eastAsia="宋体" w:cs="Times New Roman"/>
                <w:sz w:val="21"/>
                <w:szCs w:val="21"/>
                <w:lang w:val="en-US" w:eastAsia="zh-CN"/>
              </w:rPr>
              <w:t>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职业健康安全目标：a)杜绝火灾、触电事件发生；b)交通事故、物体打击、机械伤害等意外伤害事件零发生；c)轻伤事故每年控制在3‰以内；d)因工死亡事件为零</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230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szCs w:val="21"/>
              </w:rPr>
              <w:t>电焊机、手板葫芦、切割机、钩机、翻斗车</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电工、焊工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设备租赁</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射线伤害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6</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22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2021年7月8-9日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7</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16</w:t>
            </w:r>
            <w:bookmarkStart w:id="31" w:name="_GoBack"/>
            <w:bookmarkEnd w:id="31"/>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12"/>
      </w:pPr>
    </w:p>
    <w:p>
      <w:pPr>
        <w:pStyle w:val="12"/>
      </w:pPr>
    </w:p>
    <w:p>
      <w:pPr>
        <w:pStyle w:val="12"/>
      </w:pPr>
    </w:p>
    <w:p>
      <w:pPr>
        <w:pStyle w:val="1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6950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line="400" w:lineRule="exact"/>
      <w:ind w:firstLine="480" w:firstLineChars="200"/>
    </w:pPr>
    <w:rPr>
      <w:rFonts w:ascii="宋体" w:hAnsi="宋体" w:cs="Times New Roman"/>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2021-10-27T06:29:52Z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