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58-2020-Q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鄄城宝利来树脂化工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39,E:ISC-E-2020-0759</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1726068704768E</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鄄城宝利来树脂化工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绝缘树脂、N, N-二乙基羟胺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绝缘树脂、N, N-二乙基羟胺的销售所涉及场所的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鄄城开发区十五路西北外环南</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鄄城开发区十五路西北外环南</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鄄城宝利来树脂化工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39,E:ISC-E-2020-0759</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鄄城开发区十五路西北外环南</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