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0584-2019-EO-2021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北京东方远创化工有限责任公司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北京东方远创化工有限责任公司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北京市房山区燕山岗南路东一巷6号C座C211房间</w:t>
            </w:r>
            <w:bookmarkEnd w:id="6"/>
          </w:p>
        </w:tc>
        <w:tc>
          <w:tcPr>
            <w:tcW w:w="1242" w:type="dxa"/>
            <w:vMerge w:val="restart"/>
            <w:vAlign w:val="center"/>
          </w:tcPr>
          <w:p>
            <w:r>
              <w:rPr>
                <w:rFonts w:hint="eastAsia"/>
              </w:rPr>
              <w:t>邮编</w:t>
            </w:r>
          </w:p>
        </w:tc>
        <w:tc>
          <w:tcPr>
            <w:tcW w:w="1771" w:type="dxa"/>
          </w:tcPr>
          <w:p>
            <w:bookmarkStart w:id="7" w:name="注册邮编"/>
            <w:r>
              <w:t>102500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北京市房山区燕山迎风四里活动站</w:t>
            </w:r>
            <w:bookmarkEnd w:id="8"/>
          </w:p>
        </w:tc>
        <w:tc>
          <w:tcPr>
            <w:tcW w:w="1242" w:type="dxa"/>
            <w:vMerge w:val="continue"/>
            <w:vAlign w:val="center"/>
          </w:tcPr>
          <w:p/>
        </w:tc>
        <w:tc>
          <w:tcPr>
            <w:tcW w:w="1771" w:type="dxa"/>
          </w:tcPr>
          <w:p>
            <w:bookmarkStart w:id="9" w:name="办公邮编"/>
            <w:r>
              <w:t>102500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隗晓宁</w:t>
            </w:r>
            <w:bookmarkEnd w:id="10"/>
          </w:p>
        </w:tc>
        <w:tc>
          <w:tcPr>
            <w:tcW w:w="1313" w:type="dxa"/>
            <w:vAlign w:val="center"/>
          </w:tcPr>
          <w:p>
            <w:r>
              <w:rPr>
                <w:rFonts w:hint="eastAsia"/>
              </w:rPr>
              <w:t>电话.</w:t>
            </w:r>
          </w:p>
        </w:tc>
        <w:tc>
          <w:tcPr>
            <w:tcW w:w="2180" w:type="dxa"/>
            <w:vAlign w:val="center"/>
          </w:tcPr>
          <w:p>
            <w:bookmarkStart w:id="11" w:name="联系人电话"/>
            <w:r>
              <w:t>13911152215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陶杨</w:t>
            </w:r>
            <w:bookmarkEnd w:id="13"/>
          </w:p>
        </w:tc>
        <w:tc>
          <w:tcPr>
            <w:tcW w:w="1313" w:type="dxa"/>
            <w:vAlign w:val="center"/>
          </w:tcPr>
          <w:p>
            <w:r>
              <w:rPr>
                <w:rFonts w:hint="eastAsia"/>
              </w:rPr>
              <w:t>管理者代表</w:t>
            </w:r>
          </w:p>
        </w:tc>
        <w:tc>
          <w:tcPr>
            <w:tcW w:w="2180" w:type="dxa"/>
          </w:tcPr>
          <w:p>
            <w:bookmarkStart w:id="14" w:name="管理者代表"/>
            <w:r>
              <w:t>隗晓宁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900"/>
              </w:tabs>
              <w:spacing w:line="360" w:lineRule="auto"/>
              <w:jc w:val="left"/>
              <w:rPr>
                <w:rFonts w:hint="eastAsia" w:ascii="华文中宋" w:hAnsi="华文中宋" w:eastAsia="华文中宋"/>
                <w:color w:val="000000"/>
                <w:sz w:val="21"/>
                <w:szCs w:val="21"/>
              </w:rPr>
            </w:pPr>
            <w:r>
              <w:rPr>
                <w:rFonts w:hint="eastAsia" w:ascii="华文中宋" w:hAnsi="华文中宋" w:eastAsia="华文中宋"/>
                <w:color w:val="000000"/>
                <w:sz w:val="21"/>
                <w:szCs w:val="21"/>
              </w:rPr>
              <w:t>产品销售服务实现流程</w:t>
            </w:r>
          </w:p>
          <w:p>
            <w:pPr>
              <w:tabs>
                <w:tab w:val="left" w:pos="900"/>
              </w:tabs>
              <w:spacing w:line="360" w:lineRule="auto"/>
              <w:jc w:val="left"/>
            </w:pPr>
            <w:r>
              <w:rPr>
                <w:rFonts w:hint="eastAsia" w:ascii="华文中宋" w:hAnsi="华文中宋" w:eastAsia="华文中宋"/>
                <w:color w:val="000000"/>
                <w:sz w:val="21"/>
                <w:szCs w:val="21"/>
              </w:rPr>
              <w:t xml:space="preserve"> </w:t>
            </w:r>
            <w:r>
              <w:rPr>
                <w:rFonts w:hint="eastAsia"/>
                <w:b/>
              </w:rPr>
              <w:t xml:space="preserve">销售：客户接触----合同评审----签订合同-----客户付款------入帐------采购-----客户提货-----验收 </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2021年11月26日 上午至2021年11月26日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w:t>
            </w:r>
            <w:r>
              <w:rPr>
                <w:rFonts w:hint="eastAsia"/>
                <w:lang w:val="en-US" w:eastAsia="zh-CN"/>
              </w:rPr>
              <w:t>Q</w:t>
            </w:r>
            <w:r>
              <w:rPr>
                <w:rFonts w:hint="eastAsia"/>
              </w:rPr>
              <w:t>第</w:t>
            </w:r>
            <w:bookmarkStart w:id="26" w:name="监督次数"/>
            <w:r>
              <w:rPr>
                <w:rFonts w:hint="eastAsia"/>
              </w:rPr>
              <w:t>一</w:t>
            </w:r>
            <w:bookmarkEnd w:id="26"/>
            <w:r>
              <w:rPr>
                <w:rFonts w:hint="eastAsia"/>
              </w:rPr>
              <w:t>次监督审核</w:t>
            </w:r>
            <w:bookmarkStart w:id="27" w:name="再认证勾选"/>
            <w:r>
              <w:rPr>
                <w:rFonts w:hint="eastAsia"/>
                <w:lang w:eastAsia="zh-CN"/>
              </w:rPr>
              <w:t>、</w:t>
            </w:r>
            <w:r>
              <w:rPr>
                <w:rFonts w:hint="eastAsia"/>
                <w:lang w:val="en-US" w:eastAsia="zh-CN"/>
              </w:rPr>
              <w:t>EO第二次监督审核</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北京市房山区燕山迎风四里活动站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E：化工材料，许可范围内危险化学品销售及其所涉及的环境管理活动</w:t>
            </w:r>
          </w:p>
          <w:p>
            <w:r>
              <w:t>O：化工材料，许可范围内危险化学品销售及其所涉及的职业健康安全管理活动</w:t>
            </w:r>
          </w:p>
          <w:p>
            <w:r>
              <w:t>Q：化工材料，许可范围内危险化学品销售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E：29.05.02</w:t>
            </w:r>
          </w:p>
          <w:p>
            <w:r>
              <w:t>O：29.05.02</w:t>
            </w:r>
          </w:p>
          <w:p>
            <w:r>
              <w:t>Q：29.05.02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rPr>
            </w:pPr>
            <w:r>
              <w:rPr>
                <w:rFonts w:hint="eastAsia"/>
                <w:lang w:val="en-US" w:eastAsia="zh-CN"/>
              </w:rPr>
              <w:t>质量 2020</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w:t>
            </w:r>
          </w:p>
          <w:p>
            <w:pPr>
              <w:rPr>
                <w:rFonts w:hint="default" w:eastAsia="宋体"/>
                <w:lang w:val="en-US" w:eastAsia="zh-CN"/>
              </w:rPr>
            </w:pPr>
            <w:r>
              <w:rPr>
                <w:rFonts w:hint="eastAsia"/>
                <w:lang w:val="en-US" w:eastAsia="zh-CN"/>
              </w:rPr>
              <w:t>环境、安全2020年12月10日—11日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质量</w:t>
            </w:r>
            <w:r>
              <w:rPr>
                <w:rFonts w:hint="eastAsia"/>
              </w:rPr>
              <w:t>有效</w:t>
            </w:r>
            <w:r>
              <w:rPr>
                <w:rFonts w:hint="eastAsia"/>
                <w:lang w:val="en-US" w:eastAsia="zh-CN"/>
              </w:rPr>
              <w:t>期</w:t>
            </w:r>
            <w:r>
              <w:rPr>
                <w:rFonts w:hint="eastAsia"/>
              </w:rPr>
              <w:t>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pPr>
              <w:rPr>
                <w:rFonts w:hint="default" w:eastAsia="宋体"/>
                <w:lang w:val="en-US" w:eastAsia="zh-CN"/>
              </w:rPr>
            </w:pPr>
            <w:r>
              <w:rPr>
                <w:rFonts w:hint="eastAsia"/>
                <w:lang w:val="en-US" w:eastAsia="zh-CN"/>
              </w:rPr>
              <w:t>环境、安全有效期至2022年12月22日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北京东方远创化工有限责任公司</w:t>
            </w:r>
            <w:r>
              <w:rPr>
                <w:rFonts w:hint="eastAsia"/>
                <w:lang w:eastAsia="zh-CN"/>
              </w:rPr>
              <w:t>，</w:t>
            </w:r>
            <w:r>
              <w:t>北京市房山区燕山岗南路东一巷6号C座C211房间</w:t>
            </w:r>
          </w:p>
        </w:tc>
        <w:tc>
          <w:tcPr>
            <w:tcW w:w="2267" w:type="dxa"/>
          </w:tcPr>
          <w:p>
            <w:pPr>
              <w:rPr>
                <w:lang w:val="de-DE" w:eastAsia="ja-JP"/>
              </w:rPr>
            </w:pPr>
            <w:r>
              <w:t>北京市房山区燕山迎风四里活动站</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t>化工材料，许可范围内危险化学品销售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李蒙生</w:t>
            </w:r>
          </w:p>
        </w:tc>
        <w:tc>
          <w:tcPr>
            <w:tcW w:w="1089" w:type="dxa"/>
            <w:vAlign w:val="center"/>
          </w:tcPr>
          <w:p>
            <w:r>
              <w:t>组长</w:t>
            </w:r>
          </w:p>
        </w:tc>
        <w:tc>
          <w:tcPr>
            <w:tcW w:w="711" w:type="dxa"/>
            <w:vAlign w:val="center"/>
          </w:tcPr>
          <w:p>
            <w:r>
              <w:t>男</w:t>
            </w:r>
          </w:p>
        </w:tc>
        <w:tc>
          <w:tcPr>
            <w:tcW w:w="3870" w:type="dxa"/>
            <w:vAlign w:val="center"/>
          </w:tcPr>
          <w:p>
            <w:r>
              <w:t>2020-N1EMS-1237307</w:t>
            </w:r>
          </w:p>
          <w:p>
            <w:r>
              <w:t>2020-N1OHSMS-1237307</w:t>
            </w:r>
          </w:p>
          <w:p>
            <w:r>
              <w:t>2020-N1QMS-1237307</w:t>
            </w:r>
          </w:p>
        </w:tc>
        <w:tc>
          <w:tcPr>
            <w:tcW w:w="2179" w:type="dxa"/>
            <w:vAlign w:val="center"/>
          </w:tcPr>
          <w:p>
            <w:r>
              <w:t>E:29.05.02</w:t>
            </w:r>
          </w:p>
          <w:p>
            <w:r>
              <w:t>O:29.05.02</w:t>
            </w:r>
          </w:p>
          <w:p>
            <w:r>
              <w:t>Q:29.05.02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2020-N1EMS-1218164</w:t>
            </w:r>
          </w:p>
          <w:p>
            <w:r>
              <w:t>2019-N1OHSMS-1218164</w:t>
            </w:r>
          </w:p>
          <w:p>
            <w:r>
              <w:t>2019-N1QMS-1218164</w:t>
            </w:r>
          </w:p>
        </w:tc>
        <w:tc>
          <w:tcPr>
            <w:tcW w:w="2179" w:type="dxa"/>
            <w:vAlign w:val="center"/>
          </w:tcPr>
          <w:p>
            <w:r>
              <w:t>E:29.05.02</w:t>
            </w:r>
          </w:p>
          <w:p>
            <w:r>
              <w:t>O:29.05.02</w:t>
            </w:r>
          </w:p>
          <w:p>
            <w:r>
              <w:t>Q:29.05.02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组员</w:t>
            </w:r>
          </w:p>
        </w:tc>
        <w:tc>
          <w:tcPr>
            <w:tcW w:w="711" w:type="dxa"/>
            <w:vAlign w:val="center"/>
          </w:tcPr>
          <w:p>
            <w:r>
              <w:t>女</w:t>
            </w:r>
          </w:p>
        </w:tc>
        <w:tc>
          <w:tcPr>
            <w:tcW w:w="3870" w:type="dxa"/>
            <w:vAlign w:val="center"/>
          </w:tcPr>
          <w:p>
            <w:r>
              <w:t>2021-N0EMS-1226516</w:t>
            </w:r>
          </w:p>
          <w:p>
            <w:r>
              <w:t>2021-N0OHSMS-1226516</w:t>
            </w:r>
          </w:p>
          <w:p>
            <w:r>
              <w:t>2020-N1QMS-1226516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1" locked="0" layoutInCell="1" allowOverlap="1">
                  <wp:simplePos x="0" y="0"/>
                  <wp:positionH relativeFrom="column">
                    <wp:posOffset>-25400</wp:posOffset>
                  </wp:positionH>
                  <wp:positionV relativeFrom="paragraph">
                    <wp:posOffset>-38735</wp:posOffset>
                  </wp:positionV>
                  <wp:extent cx="859790" cy="456565"/>
                  <wp:effectExtent l="0" t="0" r="8890" b="63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859790" cy="45656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u w:val="single"/>
              </w:rPr>
            </w:pPr>
            <w:r>
              <w:rPr>
                <w:rFonts w:hint="eastAsia"/>
              </w:rPr>
              <w:t>最高管理者制定了文件化的管理体系方针：</w:t>
            </w:r>
            <w:r>
              <w:rPr>
                <w:rFonts w:hint="eastAsia" w:ascii="宋体" w:hAnsi="宋体"/>
              </w:rPr>
              <w:t>“</w:t>
            </w:r>
            <w:r>
              <w:rPr>
                <w:rFonts w:hint="eastAsia"/>
                <w:szCs w:val="21"/>
              </w:rPr>
              <w:t>守法诚信追求质量，预防污染保护环境；关爱员工健康安全，持续改进追求卓越</w:t>
            </w:r>
            <w:r>
              <w:rPr>
                <w:rFonts w:hint="eastAsia" w:ascii="宋体" w:hAnsi="宋体"/>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szCs w:val="21"/>
                      <w:highlight w:val="none"/>
                    </w:rPr>
                    <w:t>客户对服务质量标准提高，对危险化学品的安全要求提高；</w:t>
                  </w:r>
                </w:p>
              </w:tc>
              <w:tc>
                <w:tcPr>
                  <w:tcW w:w="3965" w:type="dxa"/>
                </w:tcPr>
                <w:p>
                  <w:r>
                    <w:rPr>
                      <w:rFonts w:hint="eastAsia"/>
                      <w:szCs w:val="21"/>
                      <w:highlight w:val="none"/>
                    </w:rPr>
                    <w:t>销售部加大客户交流沟通，及时处理客户的需求和意见；</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Cs w:val="21"/>
                      <w:highlight w:val="none"/>
                    </w:rPr>
                    <w:t>法律法规变化，不熟知最新的法规要求；</w:t>
                  </w:r>
                </w:p>
              </w:tc>
              <w:tc>
                <w:tcPr>
                  <w:tcW w:w="3965" w:type="dxa"/>
                </w:tcPr>
                <w:p>
                  <w:r>
                    <w:rPr>
                      <w:rFonts w:hint="eastAsia"/>
                      <w:szCs w:val="21"/>
                      <w:highlight w:val="none"/>
                    </w:rPr>
                    <w:t>设立专人定期跟踪业内及当地等的法律法规变化情况并及时收集评估；</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Cs w:val="21"/>
                      <w:highlight w:val="none"/>
                    </w:rPr>
                    <w:t>人员流动损失，绩效考核不能有效落实，对工作完成质量造成不好的影响</w:t>
                  </w:r>
                  <w:r>
                    <w:rPr>
                      <w:rFonts w:hint="eastAsia"/>
                      <w:highlight w:val="none"/>
                    </w:rPr>
                    <w:t>等</w:t>
                  </w:r>
                </w:p>
              </w:tc>
              <w:tc>
                <w:tcPr>
                  <w:tcW w:w="3965" w:type="dxa"/>
                </w:tcPr>
                <w:p>
                  <w:pPr>
                    <w:rPr>
                      <w:szCs w:val="21"/>
                      <w:highlight w:val="none"/>
                    </w:rPr>
                  </w:pPr>
                  <w:r>
                    <w:rPr>
                      <w:rFonts w:hint="eastAsia"/>
                      <w:szCs w:val="21"/>
                      <w:highlight w:val="none"/>
                    </w:rPr>
                    <w:t>各部门及时关注员工心理变化，注意工作方式，创造良好的工作环境，提高员工归属感；</w:t>
                  </w:r>
                </w:p>
                <w:p>
                  <w:pPr>
                    <w:rPr>
                      <w:szCs w:val="21"/>
                      <w:highlight w:val="none"/>
                    </w:rPr>
                  </w:pPr>
                  <w:r>
                    <w:rPr>
                      <w:rFonts w:hint="eastAsia"/>
                      <w:szCs w:val="21"/>
                      <w:highlight w:val="none"/>
                    </w:rPr>
                    <w:t>综合部做好人员储备，防治人员流失后给公司带来风险；</w:t>
                  </w:r>
                </w:p>
                <w:p>
                  <w:r>
                    <w:rPr>
                      <w:rFonts w:hint="eastAsia"/>
                      <w:szCs w:val="21"/>
                      <w:highlight w:val="none"/>
                    </w:rPr>
                    <w:t>提高企业的效益，并适当调整公司薪酬水平，做好相关人员储备工作</w:t>
                  </w:r>
                  <w:r>
                    <w:rPr>
                      <w:rFonts w:hint="eastAsia"/>
                      <w:color w:val="FF0000"/>
                      <w:szCs w:val="21"/>
                      <w:highlight w:val="none"/>
                    </w:rPr>
                    <w:t>；</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销售产品合格率98%</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顾客满意率95%以上</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szCs w:val="21"/>
              </w:rPr>
              <w:t>台式电脑、打印机、笔记本电脑、电话</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r>
              <w:rPr>
                <w:rFonts w:hint="eastAsia"/>
                <w:lang w:val="en-US" w:eastAsia="zh-CN"/>
              </w:rPr>
              <w:t>不适用</w:t>
            </w:r>
            <w:r>
              <w:rPr>
                <w:rFonts w:hint="eastAsia"/>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服务流程检查表</w:t>
            </w:r>
            <w:r>
              <w:rPr>
                <w:rFonts w:hint="eastAsia" w:ascii="Wingdings" w:hAnsi="Wingdings"/>
              </w:rPr>
              <w:t>¨</w:t>
            </w:r>
          </w:p>
          <w:p>
            <w:pPr>
              <w:shd w:val="clear" w:color="auto" w:fill="C7DAF1" w:themeFill="text2" w:themeFillTint="32"/>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不适用</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不适用</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ascii="Wingdings" w:hAnsi="Wingdings"/>
                <w:lang w:val="en-US" w:eastAsia="zh-CN"/>
              </w:rPr>
              <w:t>不适用</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组织建立、实施和保持了适当的设计和开发过程，以确保后续的产品和服务的提供。</w:t>
            </w:r>
            <w:r>
              <w:rPr>
                <w:rFonts w:hint="eastAsia"/>
                <w:lang w:val="en-US" w:eastAsia="zh-CN"/>
              </w:rPr>
              <w:t>不适用</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运输</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化工材料，许可范围内危险化学品销售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采购</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对供方定期进行合格评定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rPr>
                <w:rFonts w:hint="eastAsia" w:eastAsia="宋体"/>
                <w:lang w:val="en-US" w:eastAsia="zh-CN"/>
              </w:rPr>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A3"/>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节约能源□节约资源□达标排放</w:t>
            </w:r>
            <w:r>
              <w:rPr>
                <w:rFonts w:hint="eastAsia"/>
              </w:rPr>
              <w:sym w:font="Wingdings 2" w:char="0052"/>
            </w:r>
            <w:r>
              <w:rPr>
                <w:rFonts w:hint="eastAsia"/>
              </w:rPr>
              <w:t>消防控制</w:t>
            </w:r>
            <w:r>
              <w:rPr>
                <w:rFonts w:hint="eastAsia"/>
              </w:rPr>
              <w:sym w:font="Wingdings 2" w:char="00A3"/>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u w:val="single"/>
              </w:rPr>
            </w:pPr>
            <w:r>
              <w:rPr>
                <w:rFonts w:hint="eastAsia"/>
              </w:rPr>
              <w:t>最高管理者制定了文件化的管理体系方针：</w:t>
            </w:r>
            <w:r>
              <w:rPr>
                <w:rFonts w:hint="eastAsia" w:ascii="宋体" w:hAnsi="宋体"/>
              </w:rPr>
              <w:t>“</w:t>
            </w:r>
            <w:r>
              <w:rPr>
                <w:rFonts w:hint="eastAsia"/>
                <w:szCs w:val="21"/>
              </w:rPr>
              <w:t>守法诚信追求质量，预防污染保护环境；关爱员工健康安全，持续改进追求卓越</w:t>
            </w:r>
            <w:r>
              <w:rPr>
                <w:rFonts w:hint="eastAsia" w:ascii="宋体" w:hAnsi="宋体"/>
              </w:rPr>
              <w:t>”</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仿宋_GB2312" w:eastAsia="仿宋_GB2312"/>
                      <w:sz w:val="24"/>
                    </w:rPr>
                    <w:t>潜在火灾事故发生</w:t>
                  </w:r>
                </w:p>
              </w:tc>
              <w:tc>
                <w:tcPr>
                  <w:tcW w:w="3965" w:type="dxa"/>
                </w:tcPr>
                <w:p>
                  <w:pPr>
                    <w:shd w:val="clear" w:color="auto" w:fill="EBF1DE" w:themeFill="accent3" w:themeFillTint="32"/>
                  </w:pPr>
                  <w:r>
                    <w:rPr>
                      <w:rFonts w:hint="eastAsia" w:ascii="仿宋_GB2312" w:eastAsia="仿宋_GB2312"/>
                      <w:sz w:val="24"/>
                    </w:rPr>
                    <w:t>管理方案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仿宋_GB2312" w:eastAsia="仿宋_GB2312"/>
                      <w:sz w:val="24"/>
                    </w:rPr>
                    <w:t>固体废弃物处理</w:t>
                  </w:r>
                </w:p>
              </w:tc>
              <w:tc>
                <w:tcPr>
                  <w:tcW w:w="3965" w:type="dxa"/>
                </w:tcPr>
                <w:p>
                  <w:pPr>
                    <w:shd w:val="clear" w:color="auto" w:fill="EBF1DE" w:themeFill="accent3" w:themeFillTint="32"/>
                  </w:pPr>
                  <w:r>
                    <w:rPr>
                      <w:rFonts w:hint="eastAsia" w:ascii="仿宋_GB2312" w:eastAsia="仿宋_GB2312"/>
                      <w:sz w:val="24"/>
                    </w:rPr>
                    <w:t>执行管理规定、程序文件规定</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4654"/>
              <w:gridCol w:w="1173"/>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46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7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47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火灾事故为0</w:t>
                  </w:r>
                </w:p>
              </w:tc>
              <w:tc>
                <w:tcPr>
                  <w:tcW w:w="4654"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公司综合部负责设备的配备、采购与管理。</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综合部要求配备合理数量的灭火器并确保其有效性。</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综合部每月对各部门区域的灭火器进行检查，发现损坏及时要求更换或自行更换。</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综合部每季度安全工作检查时，对灭火器进行检查，发现损坏及时更换。</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各部门负责及时清理办公区域内的可燃物。</w:t>
                  </w:r>
                </w:p>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rPr>
                    <w:t>综合部负责监督此管理方案的落实。</w:t>
                  </w:r>
                </w:p>
              </w:tc>
              <w:tc>
                <w:tcPr>
                  <w:tcW w:w="1173"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477" w:type="dxa"/>
                  <w:shd w:val="clear" w:color="auto" w:fill="auto"/>
                  <w:vAlign w:val="center"/>
                </w:tcPr>
                <w:p>
                  <w:pPr>
                    <w:shd w:val="clear" w:color="auto" w:fill="EBF1DE" w:themeFill="accent3" w:themeFillTint="32"/>
                    <w:jc w:val="center"/>
                    <w:rPr>
                      <w:rFonts w:ascii="宋体" w:hAnsi="宋体"/>
                      <w:lang w:val="en-GB"/>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固体废弃物100%分类，并得到有效处置</w:t>
                  </w:r>
                </w:p>
              </w:tc>
              <w:tc>
                <w:tcPr>
                  <w:tcW w:w="4654"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综合部负责于</w:t>
                  </w:r>
                  <w:r>
                    <w:rPr>
                      <w:rFonts w:hint="eastAsia" w:ascii="Times New Roman" w:hAnsi="Times New Roman" w:eastAsia="宋体" w:cs="Times New Roman"/>
                      <w:lang w:eastAsia="zh-CN"/>
                    </w:rPr>
                    <w:t>2021</w:t>
                  </w:r>
                  <w:r>
                    <w:rPr>
                      <w:rFonts w:hint="eastAsia" w:ascii="Times New Roman" w:hAnsi="Times New Roman" w:eastAsia="宋体" w:cs="Times New Roman"/>
                    </w:rPr>
                    <w:t xml:space="preserve">年3月份制定《固体废弃物管理规定》，并报经总经理批准后实施。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公司各部门严格按照《固体废弃物管理规定》的要求，对固体废弃物进行合理分类，并设置垃圾桶分类。</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公司按相关的要求，定期将不能回收利用的废弃物交甲方进行收集处理。</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综合部、销售部及其它部门中产生的各种废弃物应督促外包方放置到指定位置，得到妥善处置，并定期进行检查。</w:t>
                  </w:r>
                </w:p>
              </w:tc>
              <w:tc>
                <w:tcPr>
                  <w:tcW w:w="1173"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477" w:type="dxa"/>
                  <w:shd w:val="clear" w:color="auto" w:fill="auto"/>
                  <w:vAlign w:val="center"/>
                </w:tcPr>
                <w:p>
                  <w:pPr>
                    <w:shd w:val="clear" w:color="auto" w:fill="EBF1DE" w:themeFill="accent3" w:themeFillTint="32"/>
                    <w:jc w:val="center"/>
                    <w:rPr>
                      <w:rFonts w:ascii="宋体" w:hAnsi="宋体"/>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pPr>
                    <w:shd w:val="clear" w:color="auto" w:fill="EBF1DE" w:themeFill="accent3" w:themeFillTint="32"/>
                  </w:pPr>
                </w:p>
              </w:tc>
              <w:tc>
                <w:tcPr>
                  <w:tcW w:w="4654" w:type="dxa"/>
                  <w:shd w:val="clear" w:color="auto" w:fill="auto"/>
                  <w:vAlign w:val="center"/>
                </w:tcPr>
                <w:p>
                  <w:pPr>
                    <w:shd w:val="clear" w:color="auto" w:fill="EBF1DE" w:themeFill="accent3" w:themeFillTint="32"/>
                    <w:rPr>
                      <w:rFonts w:ascii="宋体" w:hAnsi="宋体"/>
                    </w:rPr>
                  </w:pPr>
                </w:p>
              </w:tc>
              <w:tc>
                <w:tcPr>
                  <w:tcW w:w="1173" w:type="dxa"/>
                  <w:shd w:val="clear" w:color="auto" w:fill="auto"/>
                  <w:vAlign w:val="center"/>
                </w:tcPr>
                <w:p>
                  <w:pPr>
                    <w:shd w:val="clear" w:color="auto" w:fill="EBF1DE" w:themeFill="accent3" w:themeFillTint="32"/>
                    <w:rPr>
                      <w:rFonts w:ascii="宋体" w:hAnsi="宋体"/>
                    </w:rPr>
                  </w:pPr>
                </w:p>
              </w:tc>
              <w:tc>
                <w:tcPr>
                  <w:tcW w:w="147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pPr>
                    <w:shd w:val="clear" w:color="auto" w:fill="EBF1DE" w:themeFill="accent3" w:themeFillTint="32"/>
                  </w:pPr>
                </w:p>
              </w:tc>
              <w:tc>
                <w:tcPr>
                  <w:tcW w:w="4654" w:type="dxa"/>
                  <w:shd w:val="clear" w:color="auto" w:fill="auto"/>
                  <w:vAlign w:val="center"/>
                </w:tcPr>
                <w:p>
                  <w:pPr>
                    <w:shd w:val="clear" w:color="auto" w:fill="EBF1DE" w:themeFill="accent3" w:themeFillTint="32"/>
                    <w:rPr>
                      <w:rFonts w:ascii="宋体" w:hAnsi="宋体"/>
                    </w:rPr>
                  </w:pPr>
                </w:p>
              </w:tc>
              <w:tc>
                <w:tcPr>
                  <w:tcW w:w="1173" w:type="dxa"/>
                  <w:shd w:val="clear" w:color="auto" w:fill="auto"/>
                  <w:vAlign w:val="center"/>
                </w:tcPr>
                <w:p>
                  <w:pPr>
                    <w:shd w:val="clear" w:color="auto" w:fill="EBF1DE" w:themeFill="accent3" w:themeFillTint="32"/>
                    <w:rPr>
                      <w:rFonts w:ascii="宋体" w:hAnsi="宋体"/>
                    </w:rPr>
                  </w:pPr>
                </w:p>
              </w:tc>
              <w:tc>
                <w:tcPr>
                  <w:tcW w:w="147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pPr>
                    <w:shd w:val="clear" w:color="auto" w:fill="EBF1DE" w:themeFill="accent3" w:themeFillTint="32"/>
                  </w:pPr>
                </w:p>
              </w:tc>
              <w:tc>
                <w:tcPr>
                  <w:tcW w:w="4654" w:type="dxa"/>
                  <w:shd w:val="clear" w:color="auto" w:fill="auto"/>
                  <w:vAlign w:val="center"/>
                </w:tcPr>
                <w:p>
                  <w:pPr>
                    <w:shd w:val="clear" w:color="auto" w:fill="EBF1DE" w:themeFill="accent3" w:themeFillTint="32"/>
                    <w:rPr>
                      <w:rFonts w:ascii="宋体" w:hAnsi="宋体"/>
                    </w:rPr>
                  </w:pPr>
                </w:p>
              </w:tc>
              <w:tc>
                <w:tcPr>
                  <w:tcW w:w="1173" w:type="dxa"/>
                  <w:shd w:val="clear" w:color="auto" w:fill="auto"/>
                  <w:vAlign w:val="center"/>
                </w:tcPr>
                <w:p>
                  <w:pPr>
                    <w:shd w:val="clear" w:color="auto" w:fill="EBF1DE" w:themeFill="accent3" w:themeFillTint="32"/>
                    <w:rPr>
                      <w:rFonts w:ascii="宋体" w:hAnsi="宋体"/>
                    </w:rPr>
                  </w:pPr>
                </w:p>
              </w:tc>
              <w:tc>
                <w:tcPr>
                  <w:tcW w:w="147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主要生产设备有：台式电脑、打印机、笔记本电脑、电话</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lang w:val="en-US" w:eastAsia="zh-CN"/>
              </w:rPr>
              <w:t>不涉及</w:t>
            </w:r>
          </w:p>
          <w:p>
            <w:pPr>
              <w:shd w:val="clear" w:color="auto" w:fill="EBF1DE" w:themeFill="accent3" w:themeFillTint="32"/>
            </w:pPr>
            <w:r>
              <w:rPr>
                <w:rFonts w:hint="eastAsia"/>
              </w:rPr>
              <w:t>特种设备：不适用</w:t>
            </w:r>
          </w:p>
          <w:p>
            <w:pPr>
              <w:shd w:val="clear" w:color="auto" w:fill="EBF1DE" w:themeFill="accent3" w:themeFillTint="32"/>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Wingdings" w:hAnsi="Wingdings"/>
                <w:lang w:val="en-US" w:eastAsia="zh-CN"/>
              </w:rPr>
            </w:pPr>
            <w:r>
              <w:rPr>
                <w:rFonts w:hint="eastAsia"/>
              </w:rPr>
              <w:t>计量器具的</w:t>
            </w:r>
            <w:r>
              <w:t>测量溯源</w:t>
            </w:r>
            <w:r>
              <w:rPr>
                <w:rFonts w:hint="eastAsia"/>
              </w:rPr>
              <w:t>方法：</w:t>
            </w:r>
            <w:r>
              <w:rPr>
                <w:rFonts w:hint="eastAsia" w:ascii="Wingdings" w:hAnsi="Wingdings"/>
                <w:lang w:val="en-US" w:eastAsia="zh-CN"/>
              </w:rPr>
              <w:t>不适用</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不适用</w:t>
            </w:r>
          </w:p>
          <w:p>
            <w:pPr>
              <w:shd w:val="clear" w:color="auto" w:fill="EBF1DE" w:themeFill="accent3" w:themeFillTint="32"/>
              <w:rPr>
                <w:rFonts w:hint="eastAsia" w:eastAsia="宋体"/>
                <w:u w:val="single"/>
                <w:lang w:eastAsia="zh-CN"/>
              </w:rPr>
            </w:pPr>
            <w:r>
              <w:rPr>
                <w:rFonts w:hint="eastAsia"/>
              </w:rPr>
              <w:t>计量器具管理：</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w:t>
            </w:r>
            <w:r>
              <w:rPr>
                <w:rFonts w:hint="eastAsia" w:ascii="Wingdings" w:hAnsi="Wingdings"/>
                <w:lang w:val="en-US" w:eastAsia="zh-CN"/>
              </w:rPr>
              <w:t>无</w:t>
            </w:r>
          </w:p>
          <w:p>
            <w:pPr>
              <w:shd w:val="clear" w:color="auto" w:fill="EBF1DE" w:themeFill="accent3"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eastAsia="宋体"/>
                <w:lang w:val="en-US" w:eastAsia="zh-CN"/>
              </w:rPr>
            </w:pPr>
            <w:r>
              <w:rPr>
                <w:rFonts w:hint="eastAsia"/>
              </w:rPr>
              <w:t>顾客的环境要求为：</w:t>
            </w:r>
            <w:r>
              <w:rPr>
                <w:rFonts w:hint="eastAsia" w:ascii="Wingdings" w:hAnsi="Wingdings"/>
              </w:rPr>
              <w:t>¨</w:t>
            </w:r>
            <w:r>
              <w:rPr>
                <w:rFonts w:hint="eastAsia"/>
              </w:rPr>
              <w:t>MSDS</w:t>
            </w:r>
            <w:r>
              <w:rPr>
                <w:rFonts w:hint="eastAsia" w:ascii="Wingdings" w:hAnsi="Wingdings"/>
              </w:rPr>
              <w:t>¨</w:t>
            </w:r>
            <w:r>
              <w:rPr>
                <w:rFonts w:hint="eastAsia"/>
              </w:rPr>
              <w:t>EMS认证证</w:t>
            </w:r>
            <w:r>
              <w:rPr>
                <w:rFonts w:hint="eastAsia"/>
                <w:lang w:val="en-US" w:eastAsia="zh-CN"/>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组织建立、实施和保持了适当的设计和开发过程，以确保后续的产品和服务的提供中满足环境相关的法律法规。</w:t>
            </w:r>
            <w:r>
              <w:rPr>
                <w:rFonts w:hint="eastAsia"/>
                <w:lang w:val="en-US" w:eastAsia="zh-CN"/>
              </w:rPr>
              <w:t>不适用</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运输</w:t>
            </w:r>
            <w:r>
              <w:rPr>
                <w:rFonts w:hint="eastAsia" w:ascii="Wingdings" w:hAnsi="Wingdings"/>
              </w:rPr>
              <w:t>¨</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不适用</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ascii="Wingdings" w:hAnsi="Wingdings"/>
              </w:rPr>
            </w:pPr>
            <w:r>
              <w:rPr>
                <w:rFonts w:hint="eastAsia" w:ascii="Wingdings" w:hAnsi="Wingdings"/>
              </w:rPr>
              <w:t>¨</w:t>
            </w:r>
            <w:r>
              <w:rPr>
                <w:rFonts w:hint="eastAsia"/>
              </w:rPr>
              <w:t>火灾控制</w:t>
            </w:r>
            <w:r>
              <w:rPr>
                <w:rFonts w:hint="eastAsia" w:ascii="Wingdings" w:hAnsi="Wingdings"/>
              </w:rPr>
              <w:t>¨</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最高管理者制定了文件化的职业健康安全管理体系方针：</w:t>
            </w:r>
            <w:r>
              <w:rPr>
                <w:rFonts w:hint="eastAsia" w:ascii="宋体" w:hAnsi="宋体"/>
              </w:rPr>
              <w:t>“</w:t>
            </w:r>
            <w:r>
              <w:rPr>
                <w:rFonts w:hint="eastAsia"/>
                <w:szCs w:val="21"/>
              </w:rPr>
              <w:t>守法诚信追求质量，预防污染保护环境；关爱员工健康安全，持续改进追求卓越</w:t>
            </w:r>
            <w:r>
              <w:rPr>
                <w:rFonts w:hint="eastAsia" w:ascii="宋体" w:hAnsi="宋体"/>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lang w:val="en-US" w:eastAsia="zh-CN"/>
              </w:rPr>
            </w:pPr>
            <w:r>
              <w:rPr>
                <w:rFonts w:hint="eastAsia"/>
                <w:color w:val="auto"/>
              </w:rPr>
              <w:t>员工代表是——</w:t>
            </w:r>
            <w:r>
              <w:rPr>
                <w:rFonts w:hint="eastAsia"/>
                <w:color w:val="auto"/>
                <w:lang w:val="en-US" w:eastAsia="zh-CN"/>
              </w:rPr>
              <w:t>冯春会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color w:val="auto"/>
                      <w:lang w:val="en-US" w:eastAsia="zh-CN"/>
                    </w:rPr>
                  </w:pPr>
                  <w:r>
                    <w:rPr>
                      <w:rFonts w:hint="eastAsia"/>
                      <w:color w:val="auto"/>
                    </w:rPr>
                    <w:t>潜在火灾、爆炸</w:t>
                  </w:r>
                </w:p>
              </w:tc>
              <w:tc>
                <w:tcPr>
                  <w:tcW w:w="3965" w:type="dxa"/>
                  <w:vAlign w:val="center"/>
                </w:tcPr>
                <w:p>
                  <w:pPr>
                    <w:rPr>
                      <w:rFonts w:hint="eastAsia"/>
                      <w:color w:val="auto"/>
                    </w:rPr>
                  </w:pPr>
                  <w:r>
                    <w:rPr>
                      <w:rFonts w:hint="eastAsia"/>
                      <w:color w:val="auto"/>
                    </w:rPr>
                    <w:t>运行控制</w:t>
                  </w:r>
                </w:p>
                <w:p>
                  <w:pPr>
                    <w:rPr>
                      <w:rFonts w:hint="eastAsia"/>
                      <w:color w:val="auto"/>
                      <w:lang w:val="en-US" w:eastAsia="zh-CN"/>
                    </w:rPr>
                  </w:pPr>
                  <w:r>
                    <w:rPr>
                      <w:rFonts w:hint="eastAsia"/>
                      <w:color w:val="auto"/>
                    </w:rPr>
                    <w:t>应急预案</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color w:val="auto"/>
                      <w:lang w:val="en-US" w:eastAsia="zh-CN"/>
                    </w:rPr>
                  </w:pPr>
                  <w:r>
                    <w:rPr>
                      <w:rFonts w:hint="eastAsia"/>
                      <w:color w:val="auto"/>
                    </w:rPr>
                    <w:t>触电</w:t>
                  </w:r>
                </w:p>
              </w:tc>
              <w:tc>
                <w:tcPr>
                  <w:tcW w:w="3965" w:type="dxa"/>
                  <w:vAlign w:val="center"/>
                </w:tcPr>
                <w:p>
                  <w:pPr>
                    <w:rPr>
                      <w:rFonts w:hint="eastAsia"/>
                      <w:color w:val="auto"/>
                    </w:rPr>
                  </w:pPr>
                  <w:r>
                    <w:rPr>
                      <w:rFonts w:hint="eastAsia"/>
                      <w:color w:val="auto"/>
                    </w:rPr>
                    <w:t>管理方案</w:t>
                  </w:r>
                </w:p>
                <w:p>
                  <w:pPr>
                    <w:rPr>
                      <w:rFonts w:hint="eastAsia"/>
                      <w:color w:val="auto"/>
                      <w:lang w:val="en-US" w:eastAsia="zh-CN"/>
                    </w:rPr>
                  </w:pPr>
                  <w:r>
                    <w:rPr>
                      <w:rFonts w:hint="eastAsia"/>
                      <w:color w:val="auto"/>
                    </w:rPr>
                    <w:t>运行控制</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kern w:val="0"/>
                      <w:lang w:bidi="ar"/>
                    </w:rPr>
                    <w:t>各类重伤以上事故发生率为零；</w:t>
                  </w:r>
                </w:p>
              </w:tc>
              <w:tc>
                <w:tcPr>
                  <w:tcW w:w="3136" w:type="dxa"/>
                  <w:shd w:val="clear" w:color="auto" w:fill="auto"/>
                  <w:vAlign w:val="center"/>
                </w:tcPr>
                <w:p>
                  <w:pPr>
                    <w:rPr>
                      <w:lang w:val="en-GB"/>
                    </w:rPr>
                  </w:pPr>
                  <w:r>
                    <w:rPr>
                      <w:rFonts w:hint="eastAsia"/>
                    </w:rPr>
                    <w:t>建立健全各项安全销售管理制度、办法。使载体全过程有效运行。</w:t>
                  </w:r>
                </w:p>
              </w:tc>
              <w:tc>
                <w:tcPr>
                  <w:tcW w:w="1350" w:type="dxa"/>
                  <w:shd w:val="clear" w:color="auto" w:fill="auto"/>
                  <w:vAlign w:val="center"/>
                </w:tcPr>
                <w:p>
                  <w:pPr>
                    <w:rPr>
                      <w:rFonts w:hint="default" w:eastAsia="宋体"/>
                      <w:lang w:val="en-US" w:eastAsia="zh-CN"/>
                    </w:rPr>
                  </w:pPr>
                  <w:r>
                    <w:rPr>
                      <w:rFonts w:hint="eastAsia"/>
                      <w:lang w:val="en-US" w:eastAsia="zh-CN"/>
                    </w:rPr>
                    <w:t>综合部、销售部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kern w:val="0"/>
                      <w:lang w:bidi="ar"/>
                    </w:rPr>
                    <w:t>火灾事故发生率为零。</w:t>
                  </w:r>
                </w:p>
              </w:tc>
              <w:tc>
                <w:tcPr>
                  <w:tcW w:w="3136" w:type="dxa"/>
                  <w:shd w:val="clear" w:color="auto" w:fill="auto"/>
                  <w:vAlign w:val="center"/>
                </w:tcPr>
                <w:p>
                  <w:pPr>
                    <w:rPr>
                      <w:rFonts w:ascii="宋体" w:hAnsi="宋体"/>
                    </w:rPr>
                  </w:pPr>
                  <w:r>
                    <w:rPr>
                      <w:rFonts w:hint="eastAsia"/>
                    </w:rPr>
                    <w:t>每月实行定期和不定期检查制度，实行评比奖罚制度，严格控制火灾发生。</w:t>
                  </w:r>
                </w:p>
              </w:tc>
              <w:tc>
                <w:tcPr>
                  <w:tcW w:w="1350" w:type="dxa"/>
                  <w:shd w:val="clear" w:color="auto" w:fill="auto"/>
                  <w:vAlign w:val="center"/>
                </w:tcPr>
                <w:p>
                  <w:pPr>
                    <w:rPr>
                      <w:rFonts w:ascii="宋体" w:hAnsi="宋体"/>
                    </w:rPr>
                  </w:pPr>
                  <w:r>
                    <w:rPr>
                      <w:rFonts w:hint="eastAsia"/>
                      <w:lang w:val="en-US" w:eastAsia="zh-CN"/>
                    </w:rPr>
                    <w:t>综合部、销售部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Times New Roman" w:hAnsi="Times New Roman" w:eastAsia="宋体" w:cs="Times New Roman"/>
              </w:rPr>
              <w:t>台式电脑、打印机、笔记本电脑、电话</w:t>
            </w:r>
          </w:p>
          <w:p>
            <w:r>
              <w:rPr>
                <w:rFonts w:hint="eastAsia"/>
              </w:rPr>
              <w:t>主要安全装置有：</w:t>
            </w:r>
          </w:p>
          <w:p>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p>
          <w:p>
            <w:pPr>
              <w:rPr>
                <w:u w:val="single"/>
              </w:rPr>
            </w:pPr>
          </w:p>
          <w:p>
            <w:r>
              <w:rPr>
                <w:rFonts w:hint="eastAsia"/>
              </w:rPr>
              <w:t>特种设备不适用</w:t>
            </w:r>
          </w:p>
          <w:p>
            <w:pPr>
              <w:ind w:firstLine="1050" w:firstLineChars="500"/>
              <w:rPr>
                <w:rFonts w:hint="eastAsia" w:eastAsia="宋体"/>
                <w:lang w:eastAsia="zh-CN"/>
              </w:rPr>
            </w:pPr>
            <w:r>
              <w:rPr>
                <w:rFonts w:hint="eastAsia"/>
              </w:rPr>
              <w:t>辅助场所：</w:t>
            </w:r>
            <w:r>
              <w:rPr>
                <w:rFonts w:hint="eastAsia" w:ascii="Wingdings" w:hAnsi="Wingdings"/>
                <w:lang w:val="en-US" w:eastAsia="zh-CN"/>
              </w:rPr>
              <w:t>无</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方法：</w:t>
            </w:r>
            <w:r>
              <w:rPr>
                <w:rFonts w:hint="eastAsia"/>
                <w:lang w:val="en-US" w:eastAsia="zh-CN"/>
              </w:rPr>
              <w:t>不适用</w:t>
            </w:r>
          </w:p>
          <w:p>
            <w:pPr>
              <w:rPr>
                <w:rFonts w:hint="eastAsia" w:eastAsia="宋体"/>
                <w:lang w:val="en-US" w:eastAsia="zh-CN"/>
              </w:rPr>
            </w:pPr>
            <w:r>
              <w:rPr>
                <w:rFonts w:hint="eastAsia"/>
              </w:rPr>
              <w:t>职业健康安全监测的计量器具有：</w:t>
            </w:r>
            <w:r>
              <w:rPr>
                <w:rFonts w:hint="eastAsia"/>
                <w:lang w:val="en-US" w:eastAsia="zh-CN"/>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外部提供包括：运输</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A3"/>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w:t>
            </w:r>
          </w:p>
          <w:p>
            <w:pPr>
              <w:rPr>
                <w:rFonts w:hint="default" w:eastAsia="宋体"/>
                <w:u w:val="single"/>
                <w:lang w:val="en-US" w:eastAsia="zh-CN"/>
              </w:rPr>
            </w:pPr>
            <w:r>
              <w:rPr>
                <w:rFonts w:hint="eastAsia"/>
              </w:rPr>
              <w:t>特种设备管理：</w:t>
            </w:r>
            <w:r>
              <w:rPr>
                <w:rFonts w:hint="eastAsia" w:ascii="Wingdings" w:hAnsi="Wingdings"/>
              </w:rPr>
              <w:t>¨</w:t>
            </w:r>
            <w:r>
              <w:rPr>
                <w:rFonts w:hint="eastAsia"/>
                <w:lang w:val="en-US" w:eastAsia="zh-CN"/>
              </w:rPr>
              <w:t>不适用</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eastAsia" w:ascii="Wingdings" w:hAnsi="Wingdings"/>
                <w:lang w:val="en-US" w:eastAsia="zh-CN"/>
              </w:rPr>
            </w:pPr>
            <w:r>
              <w:rPr>
                <w:rFonts w:hint="eastAsia" w:ascii="Wingdings" w:hAnsi="Wingdings"/>
                <w:lang w:val="en-US" w:eastAsia="zh-CN"/>
              </w:rPr>
              <w:t>无</w:t>
            </w:r>
          </w:p>
          <w:p>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p>
          <w:p/>
          <w:p>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F20B05"/>
    <w:rsid w:val="1FDA10C0"/>
    <w:rsid w:val="3CAC5739"/>
    <w:rsid w:val="40E52B30"/>
    <w:rsid w:val="4B9E18CD"/>
    <w:rsid w:val="4F4F4189"/>
    <w:rsid w:val="555776D3"/>
    <w:rsid w:val="5ED0643C"/>
    <w:rsid w:val="5FB05CF9"/>
    <w:rsid w:val="64D83DC4"/>
    <w:rsid w:val="78F44833"/>
    <w:rsid w:val="7CEA3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3"/>
    <w:unhideWhenUsed/>
    <w:qFormat/>
    <w:uiPriority w:val="0"/>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2021-11-29T02:41:36Z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