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right"/>
        <w:rPr>
          <w:rFonts w:ascii="Times New Roman" w:hAnsi="Times New Roman" w:cs="Times New Roman"/>
          <w:sz w:val="20"/>
          <w:szCs w:val="28"/>
        </w:rPr>
      </w:pPr>
      <w:r>
        <w:rPr>
          <w:rFonts w:hint="eastAsia" w:asciiTheme="minorEastAsia" w:hAnsiTheme="minorEastAsia"/>
          <w:b/>
          <w:color w:val="000000" w:themeColor="text1"/>
          <w:sz w:val="28"/>
          <w:szCs w:val="28"/>
          <w14:textFill>
            <w14:solidFill>
              <w14:schemeClr w14:val="tx1"/>
            </w14:solidFill>
          </w14:textFill>
        </w:rPr>
        <w:t xml:space="preserve">             </w:t>
      </w:r>
      <w:r>
        <w:rPr>
          <w:rFonts w:hint="eastAsia" w:ascii="Times New Roman" w:hAnsi="Times New Roman" w:cs="Times New Roman"/>
          <w:sz w:val="20"/>
          <w:szCs w:val="28"/>
        </w:rPr>
        <w:t xml:space="preserve">                                                    受理</w:t>
      </w:r>
      <w:r>
        <w:rPr>
          <w:rFonts w:ascii="Times New Roman" w:hAnsi="Times New Roman" w:cs="Times New Roman"/>
          <w:sz w:val="20"/>
          <w:szCs w:val="28"/>
        </w:rPr>
        <w:t>编号</w:t>
      </w:r>
      <w:r>
        <w:rPr>
          <w:rFonts w:hint="eastAsia" w:ascii="Times New Roman" w:hAnsi="Times New Roman" w:cs="Times New Roman"/>
          <w:sz w:val="20"/>
          <w:szCs w:val="28"/>
        </w:rPr>
        <w:t>：</w:t>
      </w:r>
      <w:r>
        <w:rPr>
          <w:rFonts w:ascii="Times New Roman" w:hAnsi="Times New Roman" w:cs="Times New Roman"/>
          <w:sz w:val="20"/>
          <w:szCs w:val="28"/>
          <w:u w:val="single"/>
        </w:rPr>
        <w:t>0</w:t>
      </w:r>
      <w:r>
        <w:rPr>
          <w:rFonts w:hint="eastAsia" w:ascii="Times New Roman" w:hAnsi="Times New Roman" w:cs="Times New Roman"/>
          <w:sz w:val="20"/>
          <w:szCs w:val="28"/>
          <w:u w:val="single"/>
          <w:lang w:val="en-US" w:eastAsia="zh-CN"/>
        </w:rPr>
        <w:t>141</w:t>
      </w:r>
      <w:r>
        <w:rPr>
          <w:rFonts w:ascii="Times New Roman" w:hAnsi="Times New Roman" w:cs="Times New Roman"/>
          <w:sz w:val="20"/>
          <w:szCs w:val="28"/>
          <w:u w:val="single"/>
        </w:rPr>
        <w:t>-201</w:t>
      </w:r>
      <w:r>
        <w:rPr>
          <w:rFonts w:hint="eastAsia" w:ascii="Times New Roman" w:hAnsi="Times New Roman" w:cs="Times New Roman"/>
          <w:sz w:val="20"/>
          <w:szCs w:val="28"/>
          <w:u w:val="single"/>
          <w:lang w:val="en-US" w:eastAsia="zh-CN"/>
        </w:rPr>
        <w:t>8</w:t>
      </w:r>
      <w:r>
        <w:rPr>
          <w:rFonts w:hint="eastAsia" w:ascii="Times New Roman" w:hAnsi="Times New Roman" w:cs="Times New Roman"/>
          <w:sz w:val="20"/>
          <w:szCs w:val="28"/>
          <w:u w:val="single"/>
        </w:rPr>
        <w:t>-2019</w:t>
      </w:r>
    </w:p>
    <w:tbl>
      <w:tblPr>
        <w:tblStyle w:val="6"/>
        <w:tblpPr w:leftFromText="180" w:rightFromText="180" w:vertAnchor="text" w:horzAnchor="margin" w:tblpXSpec="center" w:tblpY="1220"/>
        <w:tblW w:w="95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4"/>
        <w:gridCol w:w="66"/>
        <w:gridCol w:w="884"/>
        <w:gridCol w:w="216"/>
        <w:gridCol w:w="999"/>
        <w:gridCol w:w="945"/>
        <w:gridCol w:w="1110"/>
        <w:gridCol w:w="1485"/>
        <w:gridCol w:w="1335"/>
        <w:gridCol w:w="1005"/>
        <w:gridCol w:w="666"/>
        <w:gridCol w:w="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trPr>
        <w:tc>
          <w:tcPr>
            <w:tcW w:w="950" w:type="dxa"/>
            <w:gridSpan w:val="2"/>
            <w:vAlign w:val="center"/>
          </w:tcPr>
          <w:p>
            <w:pPr>
              <w:jc w:val="center"/>
              <w:rPr>
                <w:szCs w:val="21"/>
              </w:rPr>
            </w:pPr>
            <w:r>
              <w:rPr>
                <w:rFonts w:hint="eastAsia"/>
                <w:szCs w:val="21"/>
              </w:rPr>
              <w:t>企业名称</w:t>
            </w:r>
          </w:p>
        </w:tc>
        <w:tc>
          <w:tcPr>
            <w:tcW w:w="884" w:type="dxa"/>
            <w:vAlign w:val="center"/>
          </w:tcPr>
          <w:p>
            <w:pPr>
              <w:jc w:val="left"/>
              <w:rPr>
                <w:rFonts w:hint="eastAsia"/>
                <w:sz w:val="24"/>
                <w:szCs w:val="24"/>
              </w:rPr>
            </w:pPr>
          </w:p>
        </w:tc>
        <w:tc>
          <w:tcPr>
            <w:tcW w:w="4755" w:type="dxa"/>
            <w:gridSpan w:val="5"/>
            <w:vAlign w:val="center"/>
          </w:tcPr>
          <w:p>
            <w:pPr>
              <w:jc w:val="left"/>
              <w:rPr>
                <w:szCs w:val="21"/>
              </w:rPr>
            </w:pPr>
            <w:r>
              <w:rPr>
                <w:rFonts w:hint="eastAsia"/>
                <w:sz w:val="24"/>
                <w:szCs w:val="24"/>
                <w:lang w:val="en-US" w:eastAsia="zh-CN"/>
              </w:rPr>
              <w:t xml:space="preserve">上海华杰生态环境工程有限公司 </w:t>
            </w:r>
          </w:p>
        </w:tc>
        <w:tc>
          <w:tcPr>
            <w:tcW w:w="1335" w:type="dxa"/>
            <w:vAlign w:val="center"/>
          </w:tcPr>
          <w:p>
            <w:pPr>
              <w:ind w:firstLine="105" w:firstLineChars="50"/>
              <w:rPr>
                <w:szCs w:val="21"/>
              </w:rPr>
            </w:pPr>
            <w:r>
              <w:rPr>
                <w:rFonts w:hint="eastAsia" w:ascii="宋体" w:hAnsi="宋体" w:eastAsia="宋体" w:cs="Times New Roman"/>
                <w:szCs w:val="21"/>
              </w:rPr>
              <w:t>审核</w:t>
            </w:r>
            <w:r>
              <w:rPr>
                <w:rFonts w:hint="eastAsia" w:ascii="Times New Roman" w:hAnsi="Times New Roman" w:eastAsia="宋体" w:cs="Times New Roman"/>
                <w:szCs w:val="21"/>
              </w:rPr>
              <w:t>员</w:t>
            </w:r>
          </w:p>
        </w:tc>
        <w:tc>
          <w:tcPr>
            <w:tcW w:w="1672" w:type="dxa"/>
            <w:gridSpan w:val="3"/>
            <w:vAlign w:val="center"/>
          </w:tcPr>
          <w:p>
            <w:pPr>
              <w:jc w:val="center"/>
              <w:rPr>
                <w:szCs w:val="21"/>
              </w:rPr>
            </w:pPr>
            <w:r>
              <w:rPr>
                <w:rFonts w:hint="eastAsia"/>
                <w:szCs w:val="21"/>
              </w:rPr>
              <w:t>李政阳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trPr>
        <w:tc>
          <w:tcPr>
            <w:tcW w:w="950" w:type="dxa"/>
            <w:gridSpan w:val="2"/>
            <w:vAlign w:val="center"/>
          </w:tcPr>
          <w:p>
            <w:pPr>
              <w:jc w:val="center"/>
              <w:rPr>
                <w:szCs w:val="21"/>
              </w:rPr>
            </w:pPr>
            <w:r>
              <w:rPr>
                <w:rFonts w:hint="eastAsia"/>
                <w:szCs w:val="21"/>
              </w:rPr>
              <w:t>部门</w:t>
            </w:r>
          </w:p>
        </w:tc>
        <w:tc>
          <w:tcPr>
            <w:tcW w:w="1100" w:type="dxa"/>
            <w:gridSpan w:val="2"/>
            <w:vAlign w:val="center"/>
          </w:tcPr>
          <w:p>
            <w:pPr>
              <w:jc w:val="center"/>
              <w:rPr>
                <w:szCs w:val="21"/>
              </w:rPr>
            </w:pPr>
            <w:r>
              <w:rPr>
                <w:rFonts w:hint="eastAsia"/>
                <w:szCs w:val="21"/>
              </w:rPr>
              <w:t>测量设备</w:t>
            </w:r>
          </w:p>
          <w:p>
            <w:pPr>
              <w:jc w:val="center"/>
              <w:rPr>
                <w:szCs w:val="21"/>
              </w:rPr>
            </w:pPr>
            <w:r>
              <w:rPr>
                <w:rFonts w:hint="eastAsia"/>
                <w:szCs w:val="21"/>
              </w:rPr>
              <w:t>名称</w:t>
            </w:r>
          </w:p>
        </w:tc>
        <w:tc>
          <w:tcPr>
            <w:tcW w:w="999" w:type="dxa"/>
            <w:vAlign w:val="center"/>
          </w:tcPr>
          <w:p>
            <w:pPr>
              <w:jc w:val="center"/>
              <w:rPr>
                <w:rFonts w:hint="default" w:eastAsiaTheme="minorEastAsia"/>
                <w:szCs w:val="21"/>
                <w:lang w:val="en-US" w:eastAsia="zh-CN"/>
              </w:rPr>
            </w:pPr>
            <w:r>
              <w:rPr>
                <w:rFonts w:hint="eastAsia"/>
                <w:szCs w:val="21"/>
                <w:lang w:val="en-US" w:eastAsia="zh-CN"/>
              </w:rPr>
              <w:t>测量设备编号</w:t>
            </w:r>
          </w:p>
        </w:tc>
        <w:tc>
          <w:tcPr>
            <w:tcW w:w="945" w:type="dxa"/>
            <w:vAlign w:val="center"/>
          </w:tcPr>
          <w:p>
            <w:pPr>
              <w:jc w:val="center"/>
              <w:rPr>
                <w:szCs w:val="21"/>
              </w:rPr>
            </w:pPr>
            <w:r>
              <w:rPr>
                <w:rFonts w:hint="eastAsia"/>
                <w:szCs w:val="21"/>
              </w:rPr>
              <w:t>型号</w:t>
            </w:r>
          </w:p>
          <w:p>
            <w:pPr>
              <w:jc w:val="center"/>
              <w:rPr>
                <w:szCs w:val="21"/>
              </w:rPr>
            </w:pPr>
            <w:r>
              <w:rPr>
                <w:rFonts w:hint="eastAsia"/>
                <w:szCs w:val="21"/>
              </w:rPr>
              <w:t>规格</w:t>
            </w:r>
          </w:p>
        </w:tc>
        <w:tc>
          <w:tcPr>
            <w:tcW w:w="1110" w:type="dxa"/>
            <w:vAlign w:val="center"/>
          </w:tcPr>
          <w:p>
            <w:pPr>
              <w:jc w:val="center"/>
              <w:rPr>
                <w:szCs w:val="21"/>
              </w:rPr>
            </w:pPr>
            <w:r>
              <w:rPr>
                <w:rFonts w:hint="eastAsia"/>
                <w:szCs w:val="21"/>
              </w:rPr>
              <w:t>测量设备</w:t>
            </w:r>
          </w:p>
          <w:p>
            <w:pPr>
              <w:jc w:val="center"/>
              <w:rPr>
                <w:szCs w:val="21"/>
              </w:rPr>
            </w:pPr>
            <w:r>
              <w:rPr>
                <w:rFonts w:hint="eastAsia"/>
                <w:szCs w:val="21"/>
              </w:rPr>
              <w:t>准确度等级</w:t>
            </w:r>
          </w:p>
        </w:tc>
        <w:tc>
          <w:tcPr>
            <w:tcW w:w="1485" w:type="dxa"/>
            <w:vAlign w:val="center"/>
          </w:tcPr>
          <w:p>
            <w:pPr>
              <w:jc w:val="center"/>
              <w:rPr>
                <w:szCs w:val="21"/>
              </w:rPr>
            </w:pPr>
            <w:r>
              <w:rPr>
                <w:rFonts w:hint="eastAsia"/>
                <w:szCs w:val="21"/>
              </w:rPr>
              <w:t>测量标准置</w:t>
            </w:r>
          </w:p>
          <w:p>
            <w:pPr>
              <w:jc w:val="center"/>
              <w:rPr>
                <w:szCs w:val="21"/>
              </w:rPr>
            </w:pPr>
            <w:r>
              <w:rPr>
                <w:rFonts w:hint="eastAsia"/>
                <w:szCs w:val="21"/>
              </w:rPr>
              <w:t>准确度等级</w:t>
            </w:r>
          </w:p>
        </w:tc>
        <w:tc>
          <w:tcPr>
            <w:tcW w:w="1335" w:type="dxa"/>
            <w:vAlign w:val="center"/>
          </w:tcPr>
          <w:p>
            <w:pPr>
              <w:jc w:val="center"/>
              <w:rPr>
                <w:szCs w:val="21"/>
              </w:rPr>
            </w:pPr>
            <w:r>
              <w:rPr>
                <w:rFonts w:hint="eastAsia"/>
                <w:szCs w:val="21"/>
              </w:rPr>
              <w:t>检定/校准机构</w:t>
            </w:r>
          </w:p>
        </w:tc>
        <w:tc>
          <w:tcPr>
            <w:tcW w:w="1005" w:type="dxa"/>
            <w:vAlign w:val="center"/>
          </w:tcPr>
          <w:p>
            <w:pPr>
              <w:jc w:val="center"/>
              <w:rPr>
                <w:szCs w:val="21"/>
              </w:rPr>
            </w:pPr>
            <w:r>
              <w:rPr>
                <w:rFonts w:hint="eastAsia"/>
                <w:szCs w:val="21"/>
              </w:rPr>
              <w:t>检定/校准日期</w:t>
            </w:r>
          </w:p>
        </w:tc>
        <w:tc>
          <w:tcPr>
            <w:tcW w:w="667" w:type="dxa"/>
            <w:gridSpan w:val="2"/>
          </w:tcPr>
          <w:p>
            <w:pPr>
              <w:jc w:val="center"/>
              <w:rPr>
                <w:rFonts w:ascii="宋体" w:hAnsi="宋体"/>
                <w:szCs w:val="21"/>
              </w:rPr>
            </w:pPr>
            <w:r>
              <w:rPr>
                <w:rFonts w:hint="eastAsia" w:ascii="宋体" w:hAnsi="宋体"/>
                <w:szCs w:val="21"/>
              </w:rPr>
              <w:t xml:space="preserve"> 符</w:t>
            </w:r>
            <w:r>
              <w:rPr>
                <w:rFonts w:hint="eastAsia"/>
                <w:szCs w:val="21"/>
              </w:rPr>
              <w:t>合打</w:t>
            </w:r>
            <w:r>
              <w:rPr>
                <w:rFonts w:hint="eastAsia" w:ascii="宋体" w:hAnsi="宋体"/>
                <w:szCs w:val="21"/>
              </w:rPr>
              <w:t>√</w:t>
            </w:r>
          </w:p>
          <w:p>
            <w:pPr>
              <w:jc w:val="center"/>
              <w:rPr>
                <w:szCs w:val="21"/>
              </w:rPr>
            </w:pPr>
            <w:r>
              <w:rPr>
                <w:rFonts w:hint="eastAsia"/>
                <w:szCs w:val="21"/>
              </w:rPr>
              <w:t>不</w:t>
            </w:r>
            <w:r>
              <w:rPr>
                <w:rFonts w:hint="eastAsia" w:ascii="宋体" w:hAnsi="宋体"/>
                <w:szCs w:val="21"/>
              </w:rPr>
              <w:t>符</w:t>
            </w:r>
            <w:r>
              <w:rPr>
                <w:rFonts w:hint="eastAsia"/>
                <w:szCs w:val="21"/>
              </w:rPr>
              <w:t>合打</w:t>
            </w:r>
            <w:r>
              <w:rPr>
                <w:rFonts w:ascii="Times New Roman" w:hAnsi="Times New Roman" w:cs="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950" w:type="dxa"/>
            <w:gridSpan w:val="2"/>
            <w:vAlign w:val="center"/>
          </w:tcPr>
          <w:p>
            <w:pPr>
              <w:jc w:val="center"/>
              <w:rPr>
                <w:rFonts w:hint="eastAsia" w:eastAsiaTheme="minorEastAsia"/>
                <w:szCs w:val="21"/>
                <w:lang w:eastAsia="zh-CN"/>
              </w:rPr>
            </w:pPr>
            <w:r>
              <w:rPr>
                <w:rFonts w:hint="eastAsia"/>
                <w:szCs w:val="21"/>
                <w:lang w:val="en-US" w:eastAsia="zh-CN"/>
              </w:rPr>
              <w:t>移厕事业部</w:t>
            </w:r>
          </w:p>
        </w:tc>
        <w:tc>
          <w:tcPr>
            <w:tcW w:w="1100" w:type="dxa"/>
            <w:gridSpan w:val="2"/>
            <w:vAlign w:val="center"/>
          </w:tcPr>
          <w:p>
            <w:pPr>
              <w:jc w:val="center"/>
              <w:rPr>
                <w:rFonts w:hint="eastAsia" w:eastAsiaTheme="minorEastAsia"/>
                <w:szCs w:val="21"/>
                <w:lang w:eastAsia="zh-CN"/>
              </w:rPr>
            </w:pPr>
            <w:r>
              <w:rPr>
                <w:rFonts w:hint="eastAsia"/>
                <w:szCs w:val="21"/>
                <w:lang w:val="en-US" w:eastAsia="zh-CN"/>
              </w:rPr>
              <w:t>钢卷尺</w:t>
            </w:r>
          </w:p>
        </w:tc>
        <w:tc>
          <w:tcPr>
            <w:tcW w:w="999" w:type="dxa"/>
            <w:vAlign w:val="center"/>
          </w:tcPr>
          <w:p>
            <w:pPr>
              <w:jc w:val="center"/>
              <w:rPr>
                <w:rFonts w:hint="default" w:eastAsiaTheme="minorEastAsia"/>
                <w:szCs w:val="21"/>
                <w:lang w:val="en-US" w:eastAsia="zh-CN"/>
              </w:rPr>
            </w:pPr>
            <w:r>
              <w:rPr>
                <w:rFonts w:hint="eastAsia"/>
                <w:szCs w:val="21"/>
                <w:lang w:val="en-US" w:eastAsia="zh-CN"/>
              </w:rPr>
              <w:t>LS10001</w:t>
            </w:r>
          </w:p>
        </w:tc>
        <w:tc>
          <w:tcPr>
            <w:tcW w:w="945" w:type="dxa"/>
            <w:vAlign w:val="center"/>
          </w:tcPr>
          <w:p>
            <w:pPr>
              <w:jc w:val="center"/>
              <w:rPr>
                <w:rFonts w:hint="default" w:eastAsiaTheme="minorEastAsia"/>
                <w:szCs w:val="21"/>
                <w:lang w:val="en-US" w:eastAsia="zh-CN"/>
              </w:rPr>
            </w:pPr>
            <w:r>
              <w:rPr>
                <w:rFonts w:hint="eastAsia"/>
                <w:szCs w:val="21"/>
                <w:lang w:val="en-US" w:eastAsia="zh-CN"/>
              </w:rPr>
              <w:t>10m</w:t>
            </w:r>
          </w:p>
        </w:tc>
        <w:tc>
          <w:tcPr>
            <w:tcW w:w="1110" w:type="dxa"/>
            <w:vAlign w:val="center"/>
          </w:tcPr>
          <w:p>
            <w:pPr>
              <w:jc w:val="center"/>
              <w:rPr>
                <w:rFonts w:hint="default" w:eastAsiaTheme="minorEastAsia"/>
                <w:szCs w:val="21"/>
                <w:lang w:val="en-US" w:eastAsia="zh-CN"/>
              </w:rPr>
            </w:pPr>
            <w:r>
              <w:rPr>
                <w:rFonts w:hint="eastAsia"/>
                <w:szCs w:val="21"/>
                <w:lang w:val="en-US" w:eastAsia="zh-CN"/>
              </w:rPr>
              <w:t>±（0.3+0.2L）mm</w:t>
            </w:r>
          </w:p>
        </w:tc>
        <w:tc>
          <w:tcPr>
            <w:tcW w:w="1485" w:type="dxa"/>
            <w:vAlign w:val="center"/>
          </w:tcPr>
          <w:p>
            <w:pPr>
              <w:jc w:val="center"/>
              <w:rPr>
                <w:rFonts w:hint="default" w:eastAsiaTheme="minorEastAsia"/>
                <w:szCs w:val="21"/>
                <w:lang w:val="en-US" w:eastAsia="zh-CN"/>
              </w:rPr>
            </w:pPr>
            <w:r>
              <w:rPr>
                <w:rFonts w:hint="eastAsia"/>
                <w:szCs w:val="21"/>
                <w:lang w:val="en-US" w:eastAsia="zh-CN"/>
              </w:rPr>
              <w:t>标准钢卷尺：MPE:±（0.03+0.03L）mm</w:t>
            </w:r>
          </w:p>
        </w:tc>
        <w:tc>
          <w:tcPr>
            <w:tcW w:w="1335" w:type="dxa"/>
            <w:vAlign w:val="center"/>
          </w:tcPr>
          <w:p>
            <w:pPr>
              <w:jc w:val="center"/>
              <w:rPr>
                <w:rFonts w:hint="default" w:eastAsiaTheme="minorEastAsia"/>
                <w:szCs w:val="21"/>
                <w:lang w:val="en-US" w:eastAsia="zh-CN"/>
              </w:rPr>
            </w:pPr>
            <w:r>
              <w:rPr>
                <w:rFonts w:hint="eastAsia"/>
                <w:szCs w:val="21"/>
                <w:lang w:val="en-US" w:eastAsia="zh-CN"/>
              </w:rPr>
              <w:t>上海市奉贤区计量检定所</w:t>
            </w:r>
          </w:p>
        </w:tc>
        <w:tc>
          <w:tcPr>
            <w:tcW w:w="1005" w:type="dxa"/>
            <w:vAlign w:val="center"/>
          </w:tcPr>
          <w:p>
            <w:pPr>
              <w:jc w:val="center"/>
              <w:rPr>
                <w:rFonts w:hint="default" w:eastAsiaTheme="minorEastAsia"/>
                <w:szCs w:val="21"/>
                <w:lang w:val="en-US" w:eastAsia="zh-CN"/>
              </w:rPr>
            </w:pPr>
            <w:r>
              <w:rPr>
                <w:rFonts w:hint="eastAsia"/>
                <w:szCs w:val="21"/>
              </w:rPr>
              <w:t>201</w:t>
            </w:r>
            <w:r>
              <w:rPr>
                <w:szCs w:val="21"/>
              </w:rPr>
              <w:t>9</w:t>
            </w:r>
            <w:r>
              <w:rPr>
                <w:rFonts w:hint="eastAsia"/>
                <w:szCs w:val="21"/>
              </w:rPr>
              <w:t>.</w:t>
            </w:r>
            <w:r>
              <w:rPr>
                <w:rFonts w:hint="eastAsia"/>
                <w:szCs w:val="21"/>
                <w:lang w:val="en-US" w:eastAsia="zh-CN"/>
              </w:rPr>
              <w:t>11.22</w:t>
            </w:r>
          </w:p>
        </w:tc>
        <w:tc>
          <w:tcPr>
            <w:tcW w:w="667" w:type="dxa"/>
            <w:gridSpan w:val="2"/>
          </w:tcPr>
          <w:p>
            <w:pPr>
              <w:jc w:val="center"/>
              <w:rPr>
                <w:szCs w:val="21"/>
              </w:rPr>
            </w:pP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950" w:type="dxa"/>
            <w:gridSpan w:val="2"/>
            <w:vAlign w:val="center"/>
          </w:tcPr>
          <w:p>
            <w:pPr>
              <w:jc w:val="center"/>
              <w:rPr>
                <w:rFonts w:hint="eastAsia" w:eastAsiaTheme="minorEastAsia"/>
                <w:szCs w:val="21"/>
                <w:lang w:eastAsia="zh-CN"/>
              </w:rPr>
            </w:pPr>
            <w:r>
              <w:rPr>
                <w:rFonts w:hint="eastAsia"/>
                <w:szCs w:val="21"/>
                <w:lang w:val="en-US" w:eastAsia="zh-CN"/>
              </w:rPr>
              <w:t>移厕事业部</w:t>
            </w:r>
          </w:p>
        </w:tc>
        <w:tc>
          <w:tcPr>
            <w:tcW w:w="1100" w:type="dxa"/>
            <w:gridSpan w:val="2"/>
            <w:vAlign w:val="center"/>
          </w:tcPr>
          <w:p>
            <w:pPr>
              <w:jc w:val="center"/>
              <w:rPr>
                <w:rFonts w:hint="eastAsia" w:eastAsiaTheme="minorEastAsia"/>
                <w:szCs w:val="21"/>
                <w:lang w:eastAsia="zh-CN"/>
              </w:rPr>
            </w:pPr>
            <w:r>
              <w:rPr>
                <w:rFonts w:hint="eastAsia"/>
                <w:szCs w:val="21"/>
                <w:lang w:val="en-US" w:eastAsia="zh-CN"/>
              </w:rPr>
              <w:t>钢卷尺</w:t>
            </w:r>
          </w:p>
        </w:tc>
        <w:tc>
          <w:tcPr>
            <w:tcW w:w="999" w:type="dxa"/>
            <w:vAlign w:val="center"/>
          </w:tcPr>
          <w:p>
            <w:pPr>
              <w:jc w:val="center"/>
              <w:rPr>
                <w:rFonts w:hint="default" w:eastAsiaTheme="minorEastAsia"/>
                <w:szCs w:val="21"/>
                <w:lang w:val="en-US" w:eastAsia="zh-CN"/>
              </w:rPr>
            </w:pPr>
            <w:r>
              <w:rPr>
                <w:rFonts w:hint="eastAsia"/>
                <w:szCs w:val="21"/>
                <w:lang w:val="en-US" w:eastAsia="zh-CN"/>
              </w:rPr>
              <w:t>LS05001</w:t>
            </w:r>
          </w:p>
        </w:tc>
        <w:tc>
          <w:tcPr>
            <w:tcW w:w="945" w:type="dxa"/>
            <w:vAlign w:val="center"/>
          </w:tcPr>
          <w:p>
            <w:pPr>
              <w:jc w:val="center"/>
              <w:rPr>
                <w:szCs w:val="21"/>
              </w:rPr>
            </w:pPr>
            <w:r>
              <w:rPr>
                <w:rFonts w:hint="eastAsia"/>
                <w:szCs w:val="21"/>
              </w:rPr>
              <w:t>5m</w:t>
            </w:r>
          </w:p>
        </w:tc>
        <w:tc>
          <w:tcPr>
            <w:tcW w:w="1110" w:type="dxa"/>
            <w:vAlign w:val="center"/>
          </w:tcPr>
          <w:p>
            <w:pPr>
              <w:jc w:val="center"/>
              <w:rPr>
                <w:szCs w:val="21"/>
              </w:rPr>
            </w:pPr>
            <w:r>
              <w:rPr>
                <w:rFonts w:hint="eastAsia"/>
                <w:szCs w:val="21"/>
                <w:lang w:val="en-US" w:eastAsia="zh-CN"/>
              </w:rPr>
              <w:t>±（0.3+0.2L）mm</w:t>
            </w:r>
          </w:p>
        </w:tc>
        <w:tc>
          <w:tcPr>
            <w:tcW w:w="1485" w:type="dxa"/>
            <w:vAlign w:val="center"/>
          </w:tcPr>
          <w:p>
            <w:pPr>
              <w:jc w:val="center"/>
              <w:rPr>
                <w:szCs w:val="21"/>
              </w:rPr>
            </w:pPr>
            <w:r>
              <w:rPr>
                <w:rFonts w:hint="eastAsia"/>
                <w:szCs w:val="21"/>
                <w:lang w:val="en-US" w:eastAsia="zh-CN"/>
              </w:rPr>
              <w:t>标准钢卷尺：MPE:±（0.03+0.03L）mm</w:t>
            </w:r>
          </w:p>
        </w:tc>
        <w:tc>
          <w:tcPr>
            <w:tcW w:w="1335" w:type="dxa"/>
            <w:vAlign w:val="center"/>
          </w:tcPr>
          <w:p>
            <w:pPr>
              <w:jc w:val="center"/>
              <w:rPr>
                <w:szCs w:val="21"/>
              </w:rPr>
            </w:pPr>
            <w:r>
              <w:rPr>
                <w:rFonts w:hint="eastAsia"/>
                <w:szCs w:val="21"/>
                <w:lang w:val="en-US" w:eastAsia="zh-CN"/>
              </w:rPr>
              <w:t>上海市奉贤区计量检定所</w:t>
            </w:r>
          </w:p>
        </w:tc>
        <w:tc>
          <w:tcPr>
            <w:tcW w:w="1005" w:type="dxa"/>
            <w:vAlign w:val="center"/>
          </w:tcPr>
          <w:p>
            <w:pPr>
              <w:jc w:val="center"/>
              <w:rPr>
                <w:szCs w:val="21"/>
              </w:rPr>
            </w:pPr>
            <w:r>
              <w:rPr>
                <w:rFonts w:hint="eastAsia"/>
                <w:szCs w:val="21"/>
              </w:rPr>
              <w:t>201</w:t>
            </w:r>
            <w:r>
              <w:rPr>
                <w:szCs w:val="21"/>
              </w:rPr>
              <w:t>9</w:t>
            </w:r>
            <w:r>
              <w:rPr>
                <w:rFonts w:hint="eastAsia"/>
                <w:szCs w:val="21"/>
              </w:rPr>
              <w:t>.</w:t>
            </w:r>
            <w:r>
              <w:rPr>
                <w:rFonts w:hint="eastAsia"/>
                <w:szCs w:val="21"/>
                <w:lang w:val="en-US" w:eastAsia="zh-CN"/>
              </w:rPr>
              <w:t>11.22</w:t>
            </w:r>
          </w:p>
        </w:tc>
        <w:tc>
          <w:tcPr>
            <w:tcW w:w="667" w:type="dxa"/>
            <w:gridSpan w:val="2"/>
          </w:tcPr>
          <w:p>
            <w:pPr>
              <w:jc w:val="center"/>
              <w:rPr>
                <w:rFonts w:hint="eastAsia" w:ascii="宋体" w:hAnsi="宋体"/>
                <w:szCs w:val="21"/>
              </w:rPr>
            </w:pPr>
          </w:p>
          <w:p>
            <w:pPr>
              <w:jc w:val="center"/>
              <w:rPr>
                <w:szCs w:val="21"/>
              </w:rPr>
            </w:pP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950" w:type="dxa"/>
            <w:gridSpan w:val="2"/>
            <w:vAlign w:val="center"/>
          </w:tcPr>
          <w:p>
            <w:pPr>
              <w:jc w:val="center"/>
              <w:rPr>
                <w:rFonts w:hint="eastAsia" w:eastAsiaTheme="minorEastAsia"/>
                <w:szCs w:val="21"/>
                <w:lang w:eastAsia="zh-CN"/>
              </w:rPr>
            </w:pPr>
            <w:r>
              <w:rPr>
                <w:rFonts w:hint="eastAsia"/>
                <w:szCs w:val="21"/>
                <w:lang w:val="en-US" w:eastAsia="zh-CN"/>
              </w:rPr>
              <w:t>移厕事业部</w:t>
            </w:r>
          </w:p>
        </w:tc>
        <w:tc>
          <w:tcPr>
            <w:tcW w:w="1100" w:type="dxa"/>
            <w:gridSpan w:val="2"/>
            <w:vAlign w:val="center"/>
          </w:tcPr>
          <w:p>
            <w:pPr>
              <w:jc w:val="center"/>
              <w:rPr>
                <w:szCs w:val="21"/>
              </w:rPr>
            </w:pPr>
            <w:r>
              <w:rPr>
                <w:rFonts w:hint="eastAsia"/>
                <w:szCs w:val="21"/>
              </w:rPr>
              <w:t>游标卡尺</w:t>
            </w:r>
          </w:p>
        </w:tc>
        <w:tc>
          <w:tcPr>
            <w:tcW w:w="999" w:type="dxa"/>
            <w:vAlign w:val="center"/>
          </w:tcPr>
          <w:p>
            <w:pPr>
              <w:jc w:val="center"/>
              <w:rPr>
                <w:rFonts w:hint="default" w:eastAsiaTheme="minorEastAsia"/>
                <w:szCs w:val="21"/>
                <w:lang w:val="en-US" w:eastAsia="zh-CN"/>
              </w:rPr>
            </w:pPr>
            <w:r>
              <w:rPr>
                <w:rFonts w:hint="eastAsia"/>
                <w:szCs w:val="21"/>
                <w:lang w:val="en-US" w:eastAsia="zh-CN"/>
              </w:rPr>
              <w:t>T18013004</w:t>
            </w:r>
          </w:p>
        </w:tc>
        <w:tc>
          <w:tcPr>
            <w:tcW w:w="945" w:type="dxa"/>
            <w:vAlign w:val="center"/>
          </w:tcPr>
          <w:p>
            <w:pPr>
              <w:jc w:val="center"/>
              <w:rPr>
                <w:rFonts w:hint="eastAsia" w:eastAsiaTheme="minorEastAsia"/>
                <w:szCs w:val="21"/>
                <w:lang w:val="en-US" w:eastAsia="zh-CN"/>
              </w:rPr>
            </w:pPr>
            <w:r>
              <w:rPr>
                <w:rFonts w:hint="eastAsia"/>
                <w:szCs w:val="21"/>
                <w:lang w:val="en-US" w:eastAsia="zh-CN"/>
              </w:rPr>
              <w:t>(</w:t>
            </w:r>
            <w:r>
              <w:rPr>
                <w:rFonts w:hint="eastAsia"/>
                <w:szCs w:val="21"/>
              </w:rPr>
              <w:t>0-150</w:t>
            </w:r>
            <w:r>
              <w:rPr>
                <w:rFonts w:hint="eastAsia"/>
                <w:szCs w:val="21"/>
                <w:lang w:val="en-US" w:eastAsia="zh-CN"/>
              </w:rPr>
              <w:t>)</w:t>
            </w:r>
          </w:p>
          <w:p>
            <w:pPr>
              <w:jc w:val="center"/>
              <w:rPr>
                <w:szCs w:val="21"/>
              </w:rPr>
            </w:pPr>
            <w:r>
              <w:rPr>
                <w:rFonts w:hint="eastAsia"/>
                <w:szCs w:val="21"/>
              </w:rPr>
              <w:t>mm</w:t>
            </w:r>
          </w:p>
        </w:tc>
        <w:tc>
          <w:tcPr>
            <w:tcW w:w="1110" w:type="dxa"/>
            <w:vAlign w:val="center"/>
          </w:tcPr>
          <w:p>
            <w:pPr>
              <w:jc w:val="center"/>
              <w:rPr>
                <w:szCs w:val="21"/>
              </w:rPr>
            </w:pPr>
            <w:r>
              <w:rPr>
                <w:rFonts w:hint="eastAsia"/>
                <w:szCs w:val="21"/>
              </w:rPr>
              <w:t>±0.02mm</w:t>
            </w:r>
          </w:p>
        </w:tc>
        <w:tc>
          <w:tcPr>
            <w:tcW w:w="1485" w:type="dxa"/>
            <w:vAlign w:val="center"/>
          </w:tcPr>
          <w:p>
            <w:pPr>
              <w:jc w:val="center"/>
              <w:rPr>
                <w:rFonts w:hint="default" w:eastAsiaTheme="minorEastAsia"/>
                <w:szCs w:val="21"/>
                <w:lang w:val="en-US" w:eastAsia="zh-CN"/>
              </w:rPr>
            </w:pPr>
            <w:r>
              <w:rPr>
                <w:rFonts w:hint="eastAsia"/>
                <w:szCs w:val="21"/>
              </w:rPr>
              <w:t>量块</w:t>
            </w:r>
            <w:r>
              <w:rPr>
                <w:rFonts w:hint="eastAsia"/>
                <w:szCs w:val="21"/>
                <w:lang w:val="en-US" w:eastAsia="zh-CN"/>
              </w:rPr>
              <w:t>8块组：</w:t>
            </w:r>
          </w:p>
          <w:p>
            <w:pPr>
              <w:jc w:val="center"/>
              <w:rPr>
                <w:szCs w:val="21"/>
              </w:rPr>
            </w:pPr>
            <w:r>
              <w:rPr>
                <w:rFonts w:hint="eastAsia"/>
                <w:szCs w:val="21"/>
                <w:lang w:val="en-US" w:eastAsia="zh-CN"/>
              </w:rPr>
              <w:t>三</w:t>
            </w:r>
            <w:r>
              <w:rPr>
                <w:rFonts w:hint="eastAsia"/>
                <w:szCs w:val="21"/>
              </w:rPr>
              <w:t>等</w:t>
            </w:r>
          </w:p>
        </w:tc>
        <w:tc>
          <w:tcPr>
            <w:tcW w:w="1335" w:type="dxa"/>
            <w:vAlign w:val="center"/>
          </w:tcPr>
          <w:p>
            <w:pPr>
              <w:jc w:val="center"/>
              <w:rPr>
                <w:rFonts w:hint="default" w:eastAsiaTheme="minorEastAsia"/>
                <w:szCs w:val="21"/>
                <w:lang w:val="en-US" w:eastAsia="zh-CN"/>
              </w:rPr>
            </w:pPr>
            <w:r>
              <w:rPr>
                <w:rFonts w:hint="eastAsia"/>
                <w:szCs w:val="21"/>
                <w:lang w:val="en-US" w:eastAsia="zh-CN"/>
              </w:rPr>
              <w:t>东方美谷检验检测有限公司</w:t>
            </w:r>
          </w:p>
        </w:tc>
        <w:tc>
          <w:tcPr>
            <w:tcW w:w="1005" w:type="dxa"/>
            <w:vAlign w:val="center"/>
          </w:tcPr>
          <w:p>
            <w:pPr>
              <w:jc w:val="center"/>
              <w:rPr>
                <w:rFonts w:hint="default" w:eastAsiaTheme="minorEastAsia"/>
                <w:szCs w:val="21"/>
                <w:lang w:val="en-US" w:eastAsia="zh-CN"/>
              </w:rPr>
            </w:pPr>
            <w:r>
              <w:rPr>
                <w:rFonts w:hint="eastAsia"/>
                <w:szCs w:val="21"/>
              </w:rPr>
              <w:t>201</w:t>
            </w:r>
            <w:r>
              <w:rPr>
                <w:szCs w:val="21"/>
              </w:rPr>
              <w:t>9</w:t>
            </w:r>
            <w:r>
              <w:rPr>
                <w:rFonts w:hint="eastAsia"/>
                <w:szCs w:val="21"/>
              </w:rPr>
              <w:t>.</w:t>
            </w:r>
            <w:r>
              <w:rPr>
                <w:rFonts w:hint="eastAsia"/>
                <w:szCs w:val="21"/>
                <w:lang w:val="en-US" w:eastAsia="zh-CN"/>
              </w:rPr>
              <w:t>11.25</w:t>
            </w:r>
          </w:p>
        </w:tc>
        <w:tc>
          <w:tcPr>
            <w:tcW w:w="667" w:type="dxa"/>
            <w:gridSpan w:val="2"/>
          </w:tcPr>
          <w:p>
            <w:pPr>
              <w:jc w:val="center"/>
              <w:rPr>
                <w:rFonts w:hint="eastAsia" w:ascii="宋体" w:hAnsi="宋体"/>
                <w:szCs w:val="21"/>
              </w:rPr>
            </w:pPr>
          </w:p>
          <w:p>
            <w:pPr>
              <w:jc w:val="center"/>
              <w:rPr>
                <w:szCs w:val="21"/>
              </w:rPr>
            </w:pP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950" w:type="dxa"/>
            <w:gridSpan w:val="2"/>
            <w:vAlign w:val="center"/>
          </w:tcPr>
          <w:p>
            <w:pPr>
              <w:jc w:val="center"/>
              <w:rPr>
                <w:rFonts w:hint="eastAsia" w:eastAsiaTheme="minorEastAsia"/>
                <w:szCs w:val="21"/>
                <w:lang w:eastAsia="zh-CN"/>
              </w:rPr>
            </w:pPr>
            <w:r>
              <w:rPr>
                <w:rFonts w:hint="eastAsia"/>
                <w:szCs w:val="21"/>
                <w:lang w:val="en-US" w:eastAsia="zh-CN"/>
              </w:rPr>
              <w:t>移厕事业部</w:t>
            </w:r>
          </w:p>
        </w:tc>
        <w:tc>
          <w:tcPr>
            <w:tcW w:w="1100" w:type="dxa"/>
            <w:gridSpan w:val="2"/>
            <w:vAlign w:val="center"/>
          </w:tcPr>
          <w:p>
            <w:pPr>
              <w:jc w:val="center"/>
              <w:rPr>
                <w:rFonts w:hint="eastAsia" w:eastAsiaTheme="minorEastAsia"/>
                <w:szCs w:val="21"/>
                <w:lang w:eastAsia="zh-CN"/>
              </w:rPr>
            </w:pPr>
            <w:r>
              <w:rPr>
                <w:rFonts w:hint="eastAsia"/>
                <w:szCs w:val="21"/>
                <w:lang w:val="en-US" w:eastAsia="zh-CN"/>
              </w:rPr>
              <w:t>钢卷尺</w:t>
            </w:r>
          </w:p>
        </w:tc>
        <w:tc>
          <w:tcPr>
            <w:tcW w:w="999" w:type="dxa"/>
            <w:vAlign w:val="center"/>
          </w:tcPr>
          <w:p>
            <w:pPr>
              <w:jc w:val="center"/>
              <w:rPr>
                <w:rFonts w:hint="default" w:eastAsiaTheme="minorEastAsia"/>
                <w:szCs w:val="21"/>
                <w:lang w:val="en-US" w:eastAsia="zh-CN"/>
              </w:rPr>
            </w:pPr>
            <w:r>
              <w:rPr>
                <w:rFonts w:hint="eastAsia"/>
                <w:szCs w:val="21"/>
                <w:lang w:val="en-US" w:eastAsia="zh-CN"/>
              </w:rPr>
              <w:t>LS03001</w:t>
            </w:r>
          </w:p>
        </w:tc>
        <w:tc>
          <w:tcPr>
            <w:tcW w:w="945" w:type="dxa"/>
            <w:vAlign w:val="center"/>
          </w:tcPr>
          <w:p>
            <w:pPr>
              <w:jc w:val="center"/>
              <w:rPr>
                <w:rFonts w:hint="default" w:eastAsiaTheme="minorEastAsia"/>
                <w:szCs w:val="21"/>
                <w:lang w:val="en-US" w:eastAsia="zh-CN"/>
              </w:rPr>
            </w:pPr>
            <w:r>
              <w:rPr>
                <w:rFonts w:hint="eastAsia"/>
                <w:szCs w:val="21"/>
                <w:lang w:val="en-US" w:eastAsia="zh-CN"/>
              </w:rPr>
              <w:t>3m</w:t>
            </w:r>
          </w:p>
        </w:tc>
        <w:tc>
          <w:tcPr>
            <w:tcW w:w="1110" w:type="dxa"/>
            <w:vAlign w:val="center"/>
          </w:tcPr>
          <w:p>
            <w:pPr>
              <w:jc w:val="center"/>
              <w:rPr>
                <w:szCs w:val="21"/>
              </w:rPr>
            </w:pPr>
            <w:r>
              <w:rPr>
                <w:rFonts w:hint="eastAsia"/>
                <w:szCs w:val="21"/>
                <w:lang w:val="en-US" w:eastAsia="zh-CN"/>
              </w:rPr>
              <w:t>±（0.3+0.2L）mm</w:t>
            </w:r>
          </w:p>
        </w:tc>
        <w:tc>
          <w:tcPr>
            <w:tcW w:w="1485" w:type="dxa"/>
            <w:vAlign w:val="center"/>
          </w:tcPr>
          <w:p>
            <w:pPr>
              <w:jc w:val="center"/>
              <w:rPr>
                <w:szCs w:val="21"/>
              </w:rPr>
            </w:pPr>
            <w:r>
              <w:rPr>
                <w:rFonts w:hint="eastAsia"/>
                <w:szCs w:val="21"/>
                <w:lang w:val="en-US" w:eastAsia="zh-CN"/>
              </w:rPr>
              <w:t>标准钢卷尺：MPE:±（0.03+0.03L）mm</w:t>
            </w:r>
          </w:p>
        </w:tc>
        <w:tc>
          <w:tcPr>
            <w:tcW w:w="1335" w:type="dxa"/>
            <w:vAlign w:val="center"/>
          </w:tcPr>
          <w:p>
            <w:pPr>
              <w:jc w:val="center"/>
              <w:rPr>
                <w:szCs w:val="21"/>
              </w:rPr>
            </w:pPr>
            <w:r>
              <w:rPr>
                <w:rFonts w:hint="eastAsia"/>
                <w:szCs w:val="21"/>
                <w:lang w:val="en-US" w:eastAsia="zh-CN"/>
              </w:rPr>
              <w:t>上海市奉贤区计量检定所</w:t>
            </w:r>
            <w:bookmarkStart w:id="0" w:name="_GoBack"/>
            <w:bookmarkEnd w:id="0"/>
          </w:p>
        </w:tc>
        <w:tc>
          <w:tcPr>
            <w:tcW w:w="1005" w:type="dxa"/>
            <w:vAlign w:val="center"/>
          </w:tcPr>
          <w:p>
            <w:pPr>
              <w:jc w:val="center"/>
              <w:rPr>
                <w:szCs w:val="21"/>
              </w:rPr>
            </w:pPr>
            <w:r>
              <w:rPr>
                <w:rFonts w:hint="eastAsia"/>
                <w:szCs w:val="21"/>
              </w:rPr>
              <w:t>201</w:t>
            </w:r>
            <w:r>
              <w:rPr>
                <w:szCs w:val="21"/>
              </w:rPr>
              <w:t>9</w:t>
            </w:r>
            <w:r>
              <w:rPr>
                <w:rFonts w:hint="eastAsia"/>
                <w:szCs w:val="21"/>
              </w:rPr>
              <w:t>.</w:t>
            </w:r>
            <w:r>
              <w:rPr>
                <w:rFonts w:hint="eastAsia"/>
                <w:szCs w:val="21"/>
                <w:lang w:val="en-US" w:eastAsia="zh-CN"/>
              </w:rPr>
              <w:t>11.22</w:t>
            </w:r>
          </w:p>
        </w:tc>
        <w:tc>
          <w:tcPr>
            <w:tcW w:w="667" w:type="dxa"/>
            <w:gridSpan w:val="2"/>
          </w:tcPr>
          <w:p>
            <w:pPr>
              <w:jc w:val="center"/>
              <w:rPr>
                <w:szCs w:val="21"/>
              </w:rPr>
            </w:pP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dxa"/>
          <w:trHeight w:val="1841" w:hRule="atLeast"/>
        </w:trPr>
        <w:tc>
          <w:tcPr>
            <w:tcW w:w="884" w:type="dxa"/>
          </w:tcPr>
          <w:p>
            <w:pPr>
              <w:ind w:firstLine="420" w:firstLineChars="200"/>
              <w:rPr>
                <w:rFonts w:hint="eastAsia" w:ascii="Times New Roman" w:hAnsi="Times New Roman"/>
                <w:szCs w:val="21"/>
              </w:rPr>
            </w:pPr>
          </w:p>
        </w:tc>
        <w:tc>
          <w:tcPr>
            <w:tcW w:w="8711" w:type="dxa"/>
            <w:gridSpan w:val="10"/>
          </w:tcPr>
          <w:p>
            <w:pPr>
              <w:rPr>
                <w:rFonts w:ascii="Times New Roman" w:hAnsi="Times New Roman" w:eastAsia="宋体" w:cs="Times New Roman"/>
                <w:szCs w:val="21"/>
              </w:rPr>
            </w:pPr>
            <w:r>
              <w:rPr>
                <w:rFonts w:hint="eastAsia" w:ascii="Times New Roman" w:hAnsi="Times New Roman" w:eastAsia="宋体" w:cs="Times New Roman"/>
                <w:szCs w:val="21"/>
              </w:rPr>
              <w:t>审核综合意見：</w:t>
            </w:r>
          </w:p>
          <w:p>
            <w:pPr>
              <w:ind w:firstLine="420" w:firstLineChars="200"/>
              <w:rPr>
                <w:rFonts w:ascii="Times New Roman" w:hAnsi="Times New Roman"/>
                <w:szCs w:val="21"/>
              </w:rPr>
            </w:pPr>
          </w:p>
          <w:p>
            <w:pPr>
              <w:ind w:firstLine="420" w:firstLineChars="200"/>
              <w:rPr>
                <w:rFonts w:ascii="Times New Roman" w:hAnsi="Times New Roman" w:eastAsia="宋体" w:cs="Times New Roman"/>
                <w:szCs w:val="21"/>
              </w:rPr>
            </w:pPr>
            <w:r>
              <w:rPr>
                <w:rFonts w:hint="eastAsia" w:ascii="Times New Roman" w:hAnsi="Times New Roman"/>
                <w:szCs w:val="21"/>
              </w:rPr>
              <w:t>通过</w:t>
            </w:r>
            <w:r>
              <w:rPr>
                <w:rFonts w:hint="eastAsia" w:ascii="Times New Roman" w:hAnsi="Times New Roman"/>
                <w:color w:val="000000"/>
                <w:szCs w:val="21"/>
              </w:rPr>
              <w:t>抽查校准证书，所有的测量设备均能溯源到法定计量检定机构及有资质的校准机构校准，经查</w:t>
            </w:r>
            <w:r>
              <w:rPr>
                <w:rFonts w:hint="eastAsia" w:ascii="Times New Roman" w:hAnsi="Times New Roman"/>
                <w:color w:val="000000"/>
                <w:szCs w:val="21"/>
                <w:lang w:val="en-US" w:eastAsia="zh-CN"/>
              </w:rPr>
              <w:t>4</w:t>
            </w:r>
            <w:r>
              <w:rPr>
                <w:rFonts w:hint="eastAsia" w:ascii="Times New Roman" w:hAnsi="Times New Roman"/>
                <w:color w:val="000000"/>
                <w:szCs w:val="21"/>
              </w:rPr>
              <w:t>份测量设备校准证书，量值溯源符合</w:t>
            </w:r>
            <w:r>
              <w:rPr>
                <w:rFonts w:hint="eastAsia" w:ascii="Times New Roman" w:hAnsi="Times New Roman"/>
                <w:color w:val="000000"/>
                <w:szCs w:val="21"/>
                <w:lang w:val="en-US" w:eastAsia="zh-CN"/>
              </w:rPr>
              <w:t>标准</w:t>
            </w:r>
            <w:r>
              <w:rPr>
                <w:rFonts w:hint="eastAsia" w:ascii="Times New Roman" w:hAnsi="Times New Roman"/>
                <w:color w:val="000000"/>
                <w:szCs w:val="21"/>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dxa"/>
          <w:trHeight w:val="620" w:hRule="atLeast"/>
        </w:trPr>
        <w:tc>
          <w:tcPr>
            <w:tcW w:w="884" w:type="dxa"/>
            <w:vAlign w:val="bottom"/>
          </w:tcPr>
          <w:p>
            <w:pPr>
              <w:rPr>
                <w:rFonts w:ascii="Times New Roman" w:hAnsi="Times New Roman" w:eastAsia="宋体" w:cs="Times New Roman"/>
                <w:szCs w:val="21"/>
              </w:rPr>
            </w:pPr>
          </w:p>
        </w:tc>
        <w:tc>
          <w:tcPr>
            <w:tcW w:w="8711" w:type="dxa"/>
            <w:gridSpan w:val="10"/>
            <w:vAlign w:val="bottom"/>
          </w:tcPr>
          <w:p>
            <w:pPr>
              <w:rPr>
                <w:rFonts w:ascii="宋体" w:hAnsi="宋体" w:eastAsia="宋体" w:cs="Times New Roman"/>
                <w:szCs w:val="21"/>
              </w:rPr>
            </w:pPr>
          </w:p>
          <w:p>
            <w:pPr>
              <w:rPr>
                <w:rFonts w:ascii="Times New Roman" w:hAnsi="Times New Roman" w:eastAsia="宋体" w:cs="Times New Roman"/>
                <w:szCs w:val="21"/>
              </w:rPr>
            </w:pPr>
            <w:r>
              <w:rPr>
                <w:rFonts w:hint="eastAsia" w:ascii="宋体" w:hAnsi="宋体" w:eastAsia="宋体" w:cs="Times New Roman"/>
                <w:szCs w:val="21"/>
              </w:rPr>
              <w:t>审核</w:t>
            </w:r>
            <w:r>
              <w:rPr>
                <w:rFonts w:hint="eastAsia" w:ascii="Times New Roman" w:hAnsi="Times New Roman" w:eastAsia="宋体" w:cs="Times New Roman"/>
                <w:szCs w:val="21"/>
              </w:rPr>
              <w:t>日期： 2019 年</w:t>
            </w:r>
            <w:r>
              <w:rPr>
                <w:rFonts w:hint="eastAsia" w:ascii="Times New Roman" w:hAnsi="Times New Roman" w:eastAsia="宋体" w:cs="Times New Roman"/>
                <w:szCs w:val="21"/>
                <w:lang w:val="en-US" w:eastAsia="zh-CN"/>
              </w:rPr>
              <w:t>11</w:t>
            </w:r>
            <w:r>
              <w:rPr>
                <w:rFonts w:hint="eastAsia" w:ascii="Times New Roman" w:hAnsi="Times New Roman" w:eastAsia="宋体" w:cs="Times New Roman"/>
                <w:szCs w:val="21"/>
              </w:rPr>
              <w:t>月</w:t>
            </w:r>
            <w:r>
              <w:rPr>
                <w:rFonts w:hint="eastAsia" w:ascii="Times New Roman" w:hAnsi="Times New Roman" w:eastAsia="宋体" w:cs="Times New Roman"/>
                <w:szCs w:val="21"/>
                <w:lang w:val="en-US" w:eastAsia="zh-CN"/>
              </w:rPr>
              <w:t>27</w:t>
            </w:r>
            <w:r>
              <w:rPr>
                <w:rFonts w:hint="eastAsia" w:ascii="Times New Roman" w:hAnsi="Times New Roman" w:eastAsia="宋体" w:cs="Times New Roman"/>
                <w:szCs w:val="21"/>
              </w:rPr>
              <w:t xml:space="preserve">日 </w:t>
            </w:r>
          </w:p>
          <w:p>
            <w:pPr>
              <w:rPr>
                <w:rFonts w:ascii="宋体" w:hAnsi="宋体" w:eastAsia="宋体" w:cs="Times New Roman"/>
                <w:szCs w:val="21"/>
              </w:rPr>
            </w:pPr>
          </w:p>
          <w:p>
            <w:pPr>
              <w:rPr>
                <w:rFonts w:ascii="宋体" w:hAnsi="宋体" w:eastAsia="宋体" w:cs="Times New Roman"/>
                <w:szCs w:val="21"/>
              </w:rPr>
            </w:pPr>
          </w:p>
          <w:p>
            <w:pPr>
              <w:rPr>
                <w:rFonts w:hint="eastAsia" w:ascii="宋体" w:hAnsi="宋体" w:eastAsia="宋体" w:cs="Times New Roman"/>
                <w:szCs w:val="21"/>
              </w:rPr>
            </w:pPr>
          </w:p>
          <w:p>
            <w:pPr>
              <w:rPr>
                <w:rFonts w:ascii="Times New Roman" w:hAnsi="Times New Roman" w:eastAsia="宋体" w:cs="Times New Roman"/>
                <w:szCs w:val="21"/>
              </w:rPr>
            </w:pPr>
            <w:r>
              <w:rPr>
                <w:rFonts w:hint="eastAsia" w:ascii="宋体" w:hAnsi="宋体" w:eastAsia="宋体" w:cs="Times New Roman"/>
                <w:szCs w:val="21"/>
              </w:rPr>
              <w:t>审核</w:t>
            </w:r>
            <w:r>
              <w:rPr>
                <w:rFonts w:hint="eastAsia" w:ascii="Times New Roman" w:hAnsi="Times New Roman" w:eastAsia="宋体" w:cs="Times New Roman"/>
                <w:szCs w:val="21"/>
              </w:rPr>
              <w:t>员签字：                                                部门代表签字：</w:t>
            </w:r>
          </w:p>
          <w:p>
            <w:pPr>
              <w:rPr>
                <w:rFonts w:ascii="Times New Roman" w:hAnsi="Times New Roman" w:eastAsia="宋体" w:cs="Times New Roman"/>
                <w:szCs w:val="21"/>
              </w:rPr>
            </w:pPr>
          </w:p>
        </w:tc>
      </w:tr>
    </w:tbl>
    <w:p>
      <w:pPr>
        <w:spacing w:before="240" w:after="240"/>
        <w:ind w:firstLine="2951" w:firstLineChars="1050"/>
        <w:rPr>
          <w:rFonts w:asciiTheme="minorEastAsia" w:hAnsiTheme="minorEastAsia"/>
          <w:b/>
          <w:color w:val="000000" w:themeColor="text1"/>
          <w:sz w:val="28"/>
          <w:szCs w:val="28"/>
          <w14:textFill>
            <w14:solidFill>
              <w14:schemeClr w14:val="tx1"/>
            </w14:solidFill>
          </w14:textFill>
        </w:rPr>
      </w:pPr>
      <w:r>
        <w:rPr>
          <w:rFonts w:hint="eastAsia" w:asciiTheme="minorEastAsia" w:hAnsiTheme="minorEastAsia"/>
          <w:b/>
          <w:color w:val="000000" w:themeColor="text1"/>
          <w:sz w:val="28"/>
          <w:szCs w:val="28"/>
          <w14:textFill>
            <w14:solidFill>
              <w14:schemeClr w14:val="tx1"/>
            </w14:solidFill>
          </w14:textFill>
        </w:rPr>
        <w:t xml:space="preserve">    测量设备溯源</w:t>
      </w:r>
      <w:r>
        <w:rPr>
          <w:rFonts w:hint="eastAsia" w:ascii="Times New Roman" w:hAnsi="Times New Roman" w:eastAsia="宋体" w:cs="Times New Roman"/>
          <w:b/>
          <w:color w:val="000000" w:themeColor="text1"/>
          <w:sz w:val="28"/>
          <w:szCs w:val="28"/>
          <w14:textFill>
            <w14:solidFill>
              <w14:schemeClr w14:val="tx1"/>
            </w14:solidFill>
          </w14:textFill>
        </w:rPr>
        <w:t>抽查</w:t>
      </w:r>
      <w:r>
        <w:rPr>
          <w:rFonts w:hint="eastAsia" w:asciiTheme="minorEastAsia" w:hAnsiTheme="minorEastAsia"/>
          <w:b/>
          <w:color w:val="000000" w:themeColor="text1"/>
          <w:sz w:val="28"/>
          <w:szCs w:val="28"/>
          <w14:textFill>
            <w14:solidFill>
              <w14:schemeClr w14:val="tx1"/>
            </w14:solidFill>
          </w14:textFill>
        </w:rPr>
        <w:t>表</w:t>
      </w:r>
    </w:p>
    <w:p>
      <w:pPr>
        <w:spacing w:before="240" w:after="240"/>
        <w:ind w:firstLine="2951" w:firstLineChars="1050"/>
        <w:rPr>
          <w:rFonts w:asciiTheme="minorEastAsia" w:hAnsiTheme="minorEastAsia"/>
          <w:b/>
          <w:color w:val="000000" w:themeColor="text1"/>
          <w:sz w:val="28"/>
          <w:szCs w:val="28"/>
          <w14:textFill>
            <w14:solidFill>
              <w14:schemeClr w14:val="tx1"/>
            </w14:solidFill>
          </w14:textFill>
        </w:rPr>
      </w:pPr>
    </w:p>
    <w:p>
      <w:pPr>
        <w:spacing w:before="240" w:after="240"/>
        <w:rPr>
          <w:rFonts w:hint="eastAsia"/>
          <w:szCs w:val="30"/>
          <w:u w:val="single"/>
        </w:rPr>
      </w:pPr>
    </w:p>
    <w:sectPr>
      <w:headerReference r:id="rId3" w:type="default"/>
      <w:footerReference r:id="rId4" w:type="default"/>
      <w:pgSz w:w="11906" w:h="16838"/>
      <w:pgMar w:top="1135" w:right="1266" w:bottom="1440" w:left="1180" w:header="397"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41918080"/>
    </w:sdtPr>
    <w:sdtContent>
      <w:p>
        <w:pPr>
          <w:pStyle w:val="3"/>
          <w:jc w:val="center"/>
        </w:pPr>
        <w:r>
          <w:fldChar w:fldCharType="begin"/>
        </w:r>
        <w:r>
          <w:instrText xml:space="preserve">PAGE   \* MERGEFORMAT</w:instrText>
        </w:r>
        <w:r>
          <w:fldChar w:fldCharType="separate"/>
        </w:r>
        <w:r>
          <w:rPr>
            <w:lang w:val="zh-CN"/>
          </w:rPr>
          <w:t>1</w:t>
        </w:r>
        <w:r>
          <w:fldChar w:fldCharType="end"/>
        </w:r>
      </w:p>
    </w:sdtContent>
  </w:sdt>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spacing w:line="320" w:lineRule="exact"/>
      <w:ind w:left="-86" w:leftChars="-41" w:firstLine="720" w:firstLineChars="400"/>
      <w:jc w:val="left"/>
    </w:pPr>
    <w:r>
      <w:drawing>
        <wp:anchor distT="0" distB="0" distL="114300" distR="114300" simplePos="0" relativeHeight="251656192" behindDoc="1" locked="0" layoutInCell="1" allowOverlap="1">
          <wp:simplePos x="0" y="0"/>
          <wp:positionH relativeFrom="column">
            <wp:posOffset>-29210</wp:posOffset>
          </wp:positionH>
          <wp:positionV relativeFrom="paragraph">
            <wp:posOffset>188595</wp:posOffset>
          </wp:positionV>
          <wp:extent cx="410210" cy="433070"/>
          <wp:effectExtent l="0" t="0" r="8890" b="5080"/>
          <wp:wrapTight wrapText="bothSides">
            <wp:wrapPolygon>
              <wp:start x="2909" y="0"/>
              <wp:lineTo x="0" y="3801"/>
              <wp:lineTo x="0" y="16152"/>
              <wp:lineTo x="4848" y="20903"/>
              <wp:lineTo x="5818" y="20903"/>
              <wp:lineTo x="14545" y="20903"/>
              <wp:lineTo x="15515" y="20903"/>
              <wp:lineTo x="20363" y="15202"/>
              <wp:lineTo x="20363" y="4751"/>
              <wp:lineTo x="15515" y="0"/>
              <wp:lineTo x="2909" y="0"/>
            </wp:wrapPolygon>
          </wp:wrapTight>
          <wp:docPr id="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4"/>
                  <pic:cNvPicPr>
                    <a:picLocks noChangeAspect="1"/>
                  </pic:cNvPicPr>
                </pic:nvPicPr>
                <pic:blipFill>
                  <a:blip r:embed="rId1"/>
                  <a:stretch>
                    <a:fillRect/>
                  </a:stretch>
                </pic:blipFill>
                <pic:spPr>
                  <a:xfrm>
                    <a:off x="0" y="0"/>
                    <a:ext cx="410210" cy="433070"/>
                  </a:xfrm>
                  <a:prstGeom prst="rect">
                    <a:avLst/>
                  </a:prstGeom>
                  <a:noFill/>
                  <a:ln w="9525">
                    <a:noFill/>
                  </a:ln>
                </pic:spPr>
              </pic:pic>
            </a:graphicData>
          </a:graphic>
        </wp:anchor>
      </w:drawing>
    </w:r>
    <w:r>
      <w:tab/>
    </w:r>
  </w:p>
  <w:p>
    <w:pPr>
      <w:pStyle w:val="4"/>
      <w:pBdr>
        <w:bottom w:val="none" w:color="auto" w:sz="0" w:space="0"/>
      </w:pBdr>
      <w:spacing w:line="320" w:lineRule="exact"/>
      <w:ind w:left="-1023" w:leftChars="-487" w:firstLine="1793" w:firstLineChars="854"/>
      <w:jc w:val="left"/>
      <w:rPr>
        <w:rStyle w:val="11"/>
        <w:rFonts w:hint="default" w:ascii="Times New Roman" w:hAnsi="Times New Roman" w:cs="Times New Roman"/>
        <w:szCs w:val="21"/>
      </w:rPr>
    </w:pPr>
    <w:r>
      <w:rPr>
        <w:rStyle w:val="11"/>
        <w:rFonts w:hint="default" w:ascii="Times New Roman" w:hAnsi="Times New Roman" w:cs="Times New Roman"/>
        <w:szCs w:val="21"/>
      </w:rPr>
      <w:t>北京国标联合认证有限公司</w:t>
    </w:r>
  </w:p>
  <w:p>
    <w:pPr>
      <w:pStyle w:val="4"/>
      <w:pBdr>
        <w:bottom w:val="none" w:color="auto" w:sz="0" w:space="1"/>
      </w:pBdr>
      <w:spacing w:line="320" w:lineRule="exact"/>
      <w:ind w:firstLine="630" w:firstLineChars="300"/>
      <w:jc w:val="left"/>
    </w:pPr>
    <w:r>
      <w:rPr>
        <w:rFonts w:ascii="Times New Roman" w:hAnsi="Times New Roman" w:cs="Times New Roman"/>
        <w:sz w:val="21"/>
        <w:szCs w:val="21"/>
      </w:rPr>
      <mc:AlternateContent>
        <mc:Choice Requires="wps">
          <w:drawing>
            <wp:anchor distT="0" distB="0" distL="114300" distR="114300" simplePos="0" relativeHeight="251658240" behindDoc="0" locked="0" layoutInCell="1" allowOverlap="1">
              <wp:simplePos x="0" y="0"/>
              <wp:positionH relativeFrom="column">
                <wp:posOffset>3384550</wp:posOffset>
              </wp:positionH>
              <wp:positionV relativeFrom="paragraph">
                <wp:posOffset>-5080</wp:posOffset>
              </wp:positionV>
              <wp:extent cx="2741295" cy="261620"/>
              <wp:effectExtent l="0" t="0" r="635" b="8255"/>
              <wp:wrapNone/>
              <wp:docPr id="2" name="文本框 1"/>
              <wp:cNvGraphicFramePr/>
              <a:graphic xmlns:a="http://schemas.openxmlformats.org/drawingml/2006/main">
                <a:graphicData uri="http://schemas.microsoft.com/office/word/2010/wordprocessingShape">
                  <wps:wsp>
                    <wps:cNvSpPr txBox="1"/>
                    <wps:spPr>
                      <a:xfrm>
                        <a:off x="0" y="0"/>
                        <a:ext cx="1838325" cy="432435"/>
                      </a:xfrm>
                      <a:prstGeom prst="rect">
                        <a:avLst/>
                      </a:prstGeom>
                      <a:solidFill>
                        <a:srgbClr val="FFFFFF"/>
                      </a:solidFill>
                      <a:ln w="9525">
                        <a:noFill/>
                      </a:ln>
                      <a:effectLst/>
                    </wps:spPr>
                    <wps:txbx>
                      <w:txbxContent>
                        <w:p>
                          <w:pPr>
                            <w:rPr>
                              <w:rFonts w:ascii="Times New Roman" w:hAnsi="Times New Roman" w:cs="Times New Roman"/>
                              <w:szCs w:val="21"/>
                            </w:rPr>
                          </w:pPr>
                          <w:r>
                            <w:rPr>
                              <w:rFonts w:ascii="Times New Roman" w:hAnsi="Times New Roman" w:cs="Times New Roman"/>
                              <w:szCs w:val="21"/>
                            </w:rPr>
                            <w:t>ISC-A-II-06</w:t>
                          </w:r>
                          <w:r>
                            <w:rPr>
                              <w:rFonts w:hint="eastAsia" w:ascii="Times New Roman" w:hAnsi="Times New Roman" w:cs="Times New Roman"/>
                              <w:szCs w:val="21"/>
                            </w:rPr>
                            <w:t>测量设备溯源抽查表（06版）</w:t>
                          </w:r>
                        </w:p>
                      </w:txbxContent>
                    </wps:txbx>
                    <wps:bodyPr upright="1"/>
                  </wps:wsp>
                </a:graphicData>
              </a:graphic>
            </wp:anchor>
          </w:drawing>
        </mc:Choice>
        <mc:Fallback>
          <w:pict>
            <v:shape id="文本框 1" o:spid="_x0000_s1026" o:spt="202" type="#_x0000_t202" style="position:absolute;left:0pt;margin-left:266.5pt;margin-top:-0.4pt;height:20.6pt;width:215.85pt;z-index:251658240;mso-width-relative:page;mso-height-relative:page;" fillcolor="#FFFFFF" filled="t" stroked="f" coordsize="21600,21600" o:gfxdata="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kyyf&#10;FdcAAAAIAQAADwAAAAAAAAABACAAAAAiAAAAZHJzL2Rvd25yZXYueG1sUEsBAhQAFAAAAAgAh07i&#10;QHLGih+xAQAAQAMAAA4AAAAAAAAAAQAgAAAAJgEAAGRycy9lMm9Eb2MueG1sUEsFBgAAAAAGAAYA&#10;WQEAAEkFAAAAAA==&#10;">
              <v:fill on="t" focussize="0,0"/>
              <v:stroke on="f"/>
              <v:imagedata o:title=""/>
              <o:lock v:ext="edit" aspectratio="f"/>
              <v:textbox>
                <w:txbxContent>
                  <w:p>
                    <w:pPr>
                      <w:rPr>
                        <w:rFonts w:ascii="Times New Roman" w:hAnsi="Times New Roman" w:cs="Times New Roman"/>
                        <w:szCs w:val="21"/>
                      </w:rPr>
                    </w:pPr>
                    <w:r>
                      <w:rPr>
                        <w:rFonts w:ascii="Times New Roman" w:hAnsi="Times New Roman" w:cs="Times New Roman"/>
                        <w:szCs w:val="21"/>
                      </w:rPr>
                      <w:t>ISC-A-II-06</w:t>
                    </w:r>
                    <w:r>
                      <w:rPr>
                        <w:rFonts w:hint="eastAsia" w:ascii="Times New Roman" w:hAnsi="Times New Roman" w:cs="Times New Roman"/>
                        <w:szCs w:val="21"/>
                      </w:rPr>
                      <w:t>测量设备溯源抽查表（06版）</w:t>
                    </w:r>
                  </w:p>
                </w:txbxContent>
              </v:textbox>
            </v:shape>
          </w:pict>
        </mc:Fallback>
      </mc:AlternateContent>
    </w:r>
    <w:r>
      <w:rPr>
        <w:rStyle w:val="11"/>
        <w:rFonts w:hint="default" w:ascii="Times New Roman" w:hAnsi="Times New Roman" w:cs="Times New Roman"/>
        <w:w w:val="80"/>
        <w:szCs w:val="21"/>
      </w:rPr>
      <w:t>Beijing International Standard united Certification Co.,Ltd.</w:t>
    </w:r>
  </w:p>
  <w:p>
    <w:r>
      <mc:AlternateContent>
        <mc:Choice Requires="wps">
          <w:drawing>
            <wp:anchor distT="0" distB="0" distL="114300" distR="114300" simplePos="0" relativeHeight="251661312" behindDoc="0" locked="0" layoutInCell="1" allowOverlap="1">
              <wp:simplePos x="0" y="0"/>
              <wp:positionH relativeFrom="column">
                <wp:posOffset>-5715</wp:posOffset>
              </wp:positionH>
              <wp:positionV relativeFrom="paragraph">
                <wp:posOffset>38100</wp:posOffset>
              </wp:positionV>
              <wp:extent cx="6070600" cy="0"/>
              <wp:effectExtent l="0" t="0" r="0" b="0"/>
              <wp:wrapNone/>
              <wp:docPr id="3" name="直接连接符 3"/>
              <wp:cNvGraphicFramePr/>
              <a:graphic xmlns:a="http://schemas.openxmlformats.org/drawingml/2006/main">
                <a:graphicData uri="http://schemas.microsoft.com/office/word/2010/wordprocessingShape">
                  <wps:wsp>
                    <wps:cNvCnPr/>
                    <wps:spPr>
                      <a:xfrm>
                        <a:off x="0" y="0"/>
                        <a:ext cx="607060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直接连接符 3" o:spid="_x0000_s1026" o:spt="32" type="#_x0000_t32" style="position:absolute;left:0pt;margin-left:-0.45pt;margin-top:3pt;height:0pt;width:478pt;z-index:251661312;mso-width-relative:page;mso-height-relative:page;" filled="f" stroked="t" coordsize="21600,21600" o:gfxdata="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CELuHk0wAAAAUBAAAPAAAAAAAAAAEA&#10;IAAAACIAAABkcnMvZG93bnJldi54bWxQSwECFAAUAAAACACHTuJAGpXAXtsBAACYAwAADgAAAAAA&#10;AAABACAAAAAiAQAAZHJzL2Uyb0RvYy54bWxQSwUGAAAAAAYABgBZAQAAbwUAAAAA&#10;">
              <v:fill on="f" focussize="0,0"/>
              <v:stroke color="#000000" joinstyle="round"/>
              <v:imagedata o:title=""/>
              <o:lock v:ext="edit" aspectratio="f"/>
            </v:shape>
          </w:pict>
        </mc:Fallback>
      </mc:AlternateContent>
    </w:r>
  </w:p>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652A"/>
    <w:rsid w:val="000A236E"/>
    <w:rsid w:val="00141F79"/>
    <w:rsid w:val="001C0853"/>
    <w:rsid w:val="001E7B9C"/>
    <w:rsid w:val="0021570A"/>
    <w:rsid w:val="0024057A"/>
    <w:rsid w:val="00244C31"/>
    <w:rsid w:val="002A3CBC"/>
    <w:rsid w:val="002D3C05"/>
    <w:rsid w:val="0033169D"/>
    <w:rsid w:val="0036244D"/>
    <w:rsid w:val="003857FA"/>
    <w:rsid w:val="00392597"/>
    <w:rsid w:val="003E5391"/>
    <w:rsid w:val="003F7ABC"/>
    <w:rsid w:val="00474F39"/>
    <w:rsid w:val="00514A85"/>
    <w:rsid w:val="005224D2"/>
    <w:rsid w:val="005A0D84"/>
    <w:rsid w:val="005A7242"/>
    <w:rsid w:val="005D0B42"/>
    <w:rsid w:val="005D24D8"/>
    <w:rsid w:val="00616CE9"/>
    <w:rsid w:val="006210E3"/>
    <w:rsid w:val="00636F70"/>
    <w:rsid w:val="00657525"/>
    <w:rsid w:val="0067166C"/>
    <w:rsid w:val="006A3FCE"/>
    <w:rsid w:val="006E01EA"/>
    <w:rsid w:val="006E5F8D"/>
    <w:rsid w:val="00711A5E"/>
    <w:rsid w:val="0071439B"/>
    <w:rsid w:val="00763F5D"/>
    <w:rsid w:val="00766AFA"/>
    <w:rsid w:val="00792C05"/>
    <w:rsid w:val="00802524"/>
    <w:rsid w:val="0081413C"/>
    <w:rsid w:val="00816CDC"/>
    <w:rsid w:val="00830624"/>
    <w:rsid w:val="00845EE7"/>
    <w:rsid w:val="008461C1"/>
    <w:rsid w:val="008544CF"/>
    <w:rsid w:val="0085467A"/>
    <w:rsid w:val="008D01A0"/>
    <w:rsid w:val="00901F02"/>
    <w:rsid w:val="00910F61"/>
    <w:rsid w:val="00933CD7"/>
    <w:rsid w:val="00943D20"/>
    <w:rsid w:val="00957382"/>
    <w:rsid w:val="00982CED"/>
    <w:rsid w:val="009876F5"/>
    <w:rsid w:val="009C6468"/>
    <w:rsid w:val="009E059D"/>
    <w:rsid w:val="009F652A"/>
    <w:rsid w:val="00A10BE3"/>
    <w:rsid w:val="00A13FE4"/>
    <w:rsid w:val="00A35855"/>
    <w:rsid w:val="00A60DEA"/>
    <w:rsid w:val="00AB3CF0"/>
    <w:rsid w:val="00AF1461"/>
    <w:rsid w:val="00B00041"/>
    <w:rsid w:val="00B01161"/>
    <w:rsid w:val="00B1431A"/>
    <w:rsid w:val="00B40D68"/>
    <w:rsid w:val="00BC0644"/>
    <w:rsid w:val="00BD3740"/>
    <w:rsid w:val="00C0452F"/>
    <w:rsid w:val="00C60CDF"/>
    <w:rsid w:val="00C72FA7"/>
    <w:rsid w:val="00C74DF2"/>
    <w:rsid w:val="00CC7828"/>
    <w:rsid w:val="00CF03AA"/>
    <w:rsid w:val="00D01668"/>
    <w:rsid w:val="00D053B3"/>
    <w:rsid w:val="00D119FF"/>
    <w:rsid w:val="00D42CA9"/>
    <w:rsid w:val="00D4722A"/>
    <w:rsid w:val="00D5445C"/>
    <w:rsid w:val="00D5515E"/>
    <w:rsid w:val="00D57C29"/>
    <w:rsid w:val="00D82B51"/>
    <w:rsid w:val="00DD3B11"/>
    <w:rsid w:val="00E777B3"/>
    <w:rsid w:val="00EA2C18"/>
    <w:rsid w:val="00EC239C"/>
    <w:rsid w:val="00EF775C"/>
    <w:rsid w:val="00F262C5"/>
    <w:rsid w:val="00F4421C"/>
    <w:rsid w:val="00F92E9C"/>
    <w:rsid w:val="00FB7B5C"/>
    <w:rsid w:val="00FC3B89"/>
    <w:rsid w:val="00FD6D08"/>
    <w:rsid w:val="00FE4B4C"/>
    <w:rsid w:val="00FE56CD"/>
    <w:rsid w:val="00FE7B45"/>
    <w:rsid w:val="00FF6FDE"/>
    <w:rsid w:val="026B0FD4"/>
    <w:rsid w:val="0D091A8B"/>
    <w:rsid w:val="107A177A"/>
    <w:rsid w:val="107E4525"/>
    <w:rsid w:val="11661E8D"/>
    <w:rsid w:val="16335F33"/>
    <w:rsid w:val="16C91639"/>
    <w:rsid w:val="16DF0981"/>
    <w:rsid w:val="1DA243E9"/>
    <w:rsid w:val="1F2D0EB6"/>
    <w:rsid w:val="1FE774F6"/>
    <w:rsid w:val="21C405FE"/>
    <w:rsid w:val="249C7E16"/>
    <w:rsid w:val="281633A5"/>
    <w:rsid w:val="2DB170E6"/>
    <w:rsid w:val="2EDF2751"/>
    <w:rsid w:val="2FFB1550"/>
    <w:rsid w:val="3365502C"/>
    <w:rsid w:val="348E0E85"/>
    <w:rsid w:val="3CFF6554"/>
    <w:rsid w:val="4206500A"/>
    <w:rsid w:val="42B47478"/>
    <w:rsid w:val="496B2512"/>
    <w:rsid w:val="4CDC75F6"/>
    <w:rsid w:val="54954B72"/>
    <w:rsid w:val="580466A3"/>
    <w:rsid w:val="58626DC9"/>
    <w:rsid w:val="65CF6046"/>
    <w:rsid w:val="681D69D4"/>
    <w:rsid w:val="6AC90F17"/>
    <w:rsid w:val="6DE41069"/>
    <w:rsid w:val="6F1127D0"/>
    <w:rsid w:val="6FBF39C1"/>
    <w:rsid w:val="74700B19"/>
    <w:rsid w:val="74771171"/>
    <w:rsid w:val="775301A5"/>
    <w:rsid w:val="7B18314A"/>
    <w:rsid w:val="7D754E90"/>
    <w:rsid w:val="7E8F272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字符"/>
    <w:basedOn w:val="7"/>
    <w:link w:val="4"/>
    <w:qFormat/>
    <w:uiPriority w:val="99"/>
    <w:rPr>
      <w:sz w:val="18"/>
      <w:szCs w:val="18"/>
    </w:rPr>
  </w:style>
  <w:style w:type="character" w:customStyle="1" w:styleId="9">
    <w:name w:val="页脚 字符"/>
    <w:basedOn w:val="7"/>
    <w:link w:val="3"/>
    <w:qFormat/>
    <w:uiPriority w:val="99"/>
    <w:rPr>
      <w:sz w:val="18"/>
      <w:szCs w:val="18"/>
    </w:rPr>
  </w:style>
  <w:style w:type="paragraph" w:customStyle="1" w:styleId="10">
    <w:name w:val="列出段落1"/>
    <w:basedOn w:val="1"/>
    <w:qFormat/>
    <w:uiPriority w:val="34"/>
    <w:pPr>
      <w:ind w:firstLine="420" w:firstLineChars="200"/>
    </w:pPr>
  </w:style>
  <w:style w:type="character" w:customStyle="1" w:styleId="11">
    <w:name w:val="Char Char1"/>
    <w:qFormat/>
    <w:locked/>
    <w:uiPriority w:val="0"/>
    <w:rPr>
      <w:rFonts w:hint="eastAsia" w:ascii="宋体" w:hAnsi="Courier New" w:eastAsia="宋体"/>
      <w:kern w:val="2"/>
      <w:sz w:val="21"/>
      <w:lang w:val="en-US" w:eastAsia="zh-CN" w:bidi="ar-SA"/>
    </w:rPr>
  </w:style>
  <w:style w:type="character" w:customStyle="1" w:styleId="12">
    <w:name w:val="批注框文本 字符"/>
    <w:basedOn w:val="7"/>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115</Words>
  <Characters>659</Characters>
  <Lines>5</Lines>
  <Paragraphs>1</Paragraphs>
  <TotalTime>0</TotalTime>
  <ScaleCrop>false</ScaleCrop>
  <LinksUpToDate>false</LinksUpToDate>
  <CharactersWithSpaces>773</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2015-11-02T14:51:00Z</dcterms:created>
  <dc:creator>alexander chang</dc:creator>
  <cp:lastModifiedBy>黄金荣</cp:lastModifiedBy>
  <dcterms:modified xsi:type="dcterms:W3CDTF">2019-11-27T08:05:09Z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