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0931-2021-Q</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成都德伟久安汽车货柜有限公司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2021年09月25日 上午至2021年09月25日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王洪</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ISC-JSZJ-393</w:t>
            </w:r>
          </w:p>
          <w:p>
            <w:pPr>
              <w:spacing w:line="240" w:lineRule="exact"/>
              <w:jc w:val="center"/>
              <w:rPr>
                <w:b/>
                <w:color w:val="000000"/>
                <w:szCs w:val="21"/>
              </w:rPr>
            </w:pPr>
            <w:r>
              <w:rPr>
                <w:b/>
                <w:color w:val="000000"/>
                <w:szCs w:val="21"/>
              </w:rPr>
              <w:t>成都森马汽车车厢制造有限公司</w:t>
            </w:r>
          </w:p>
        </w:tc>
        <w:tc>
          <w:tcPr>
            <w:tcW w:w="1140" w:type="dxa"/>
            <w:vAlign w:val="center"/>
          </w:tcPr>
          <w:p>
            <w:pPr>
              <w:spacing w:line="240" w:lineRule="exact"/>
              <w:jc w:val="center"/>
              <w:rPr>
                <w:b/>
                <w:color w:val="000000"/>
                <w:szCs w:val="21"/>
              </w:rPr>
            </w:pPr>
            <w:r>
              <w:rPr>
                <w:b/>
                <w:color w:val="000000"/>
                <w:szCs w:val="21"/>
              </w:rPr>
              <w:t>22.02.00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成都德伟久安汽车货柜有限公司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成都市新都工业园区永达路1216号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成都市新都工业东区中集工业园龙虎大道2499号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王瑞</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18829841889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喻振东</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曾平</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5" w:name="审核范围"/>
            <w:r>
              <w:t>汽车货柜的制造</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原材料下料→折板、冲压→焊接组装→整箱清渣→零配件安装→检验入库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汽车货柜的制造</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22.02.00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hint="eastAsia" w:eastAsia="黑体"/>
                <w:szCs w:val="21"/>
                <w:lang w:val="de-DE" w:eastAsia="ja-JP"/>
              </w:rPr>
              <w:t>成都德伟久安汽车货柜有限公司</w:t>
            </w:r>
            <w:r>
              <w:rPr>
                <w:rFonts w:hint="eastAsia" w:eastAsia="黑体"/>
                <w:szCs w:val="21"/>
                <w:lang w:val="en-US" w:eastAsia="zh-CN"/>
              </w:rPr>
              <w:t>/成都市新都工业园区永达路1216号</w:t>
            </w:r>
          </w:p>
        </w:tc>
        <w:tc>
          <w:tcPr>
            <w:tcW w:w="2267" w:type="dxa"/>
          </w:tcPr>
          <w:p>
            <w:pPr>
              <w:spacing w:before="40" w:after="40"/>
              <w:rPr>
                <w:rFonts w:eastAsia="黑体"/>
                <w:szCs w:val="21"/>
                <w:lang w:val="de-DE" w:eastAsia="ja-JP"/>
              </w:rPr>
            </w:pPr>
            <w:r>
              <w:rPr>
                <w:rFonts w:hint="eastAsia" w:eastAsia="黑体"/>
                <w:szCs w:val="21"/>
                <w:lang w:val="de-DE" w:eastAsia="ja-JP"/>
              </w:rPr>
              <w:t>成都市新都工业东区中集工业园龙虎大道2499号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03" w:type="dxa"/>
            <w:vAlign w:val="center"/>
          </w:tcPr>
          <w:p>
            <w:pPr>
              <w:pStyle w:val="19"/>
              <w:rPr>
                <w:rFonts w:eastAsia="黑体" w:cs="Arial"/>
                <w:sz w:val="21"/>
                <w:szCs w:val="21"/>
                <w:lang w:val="en-US" w:eastAsia="ja-JP"/>
              </w:rPr>
            </w:pPr>
            <w:r>
              <w:rPr>
                <w:rFonts w:hint="eastAsia" w:eastAsia="黑体" w:cs="Arial"/>
                <w:sz w:val="21"/>
                <w:szCs w:val="21"/>
                <w:lang w:val="en-US" w:eastAsia="ja-JP"/>
              </w:rPr>
              <w:t>汽车货柜的制造</w:t>
            </w:r>
          </w:p>
        </w:tc>
        <w:tc>
          <w:tcPr>
            <w:tcW w:w="669" w:type="dxa"/>
            <w:vAlign w:val="center"/>
          </w:tcPr>
          <w:p>
            <w:pPr>
              <w:spacing w:before="40" w:after="40"/>
              <w:rPr>
                <w:rFonts w:eastAsia="黑体"/>
                <w:szCs w:val="21"/>
                <w:lang w:eastAsia="ja-JP"/>
              </w:rPr>
            </w:pPr>
            <w:r>
              <w:rPr>
                <w:rFonts w:hint="eastAsia" w:eastAsia="黑体"/>
                <w:szCs w:val="21"/>
                <w:lang w:eastAsia="ja-JP"/>
              </w:rPr>
              <w:t>GB/T19001-2016/ISO 9001:2015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黑体" w:hAnsi="黑体" w:eastAsia="黑体" w:cs="黑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bookmarkStart w:id="38" w:name="_GoBack" w:colFirst="3" w:colLast="3"/>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FF0000"/>
                <w:szCs w:val="21"/>
              </w:rPr>
            </w:pPr>
            <w:r>
              <w:rPr>
                <w:rFonts w:hint="eastAsia" w:ascii="Wingdings" w:hAnsi="Wingdings"/>
                <w:color w:val="FF0000"/>
                <w:spacing w:val="-10"/>
                <w:szCs w:val="21"/>
                <w:lang w:eastAsia="zh-CN"/>
              </w:rPr>
              <w:sym w:font="Wingdings 2" w:char="0052"/>
            </w:r>
            <w:r>
              <w:rPr>
                <w:rFonts w:hint="eastAsia" w:ascii="宋体" w:hAnsi="宋体"/>
                <w:color w:val="FF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FF0000"/>
                <w:szCs w:val="21"/>
              </w:rPr>
            </w:pPr>
            <w:r>
              <w:rPr>
                <w:rFonts w:hint="eastAsia" w:ascii="Wingdings" w:hAnsi="Wingdings"/>
                <w:color w:val="FF0000"/>
                <w:spacing w:val="-10"/>
                <w:szCs w:val="21"/>
                <w:lang w:eastAsia="zh-CN"/>
              </w:rPr>
              <w:sym w:font="Wingdings 2" w:char="0052"/>
            </w:r>
            <w:r>
              <w:rPr>
                <w:rFonts w:hint="eastAsia" w:ascii="宋体" w:hAnsi="宋体"/>
                <w:color w:val="FF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FF0000"/>
                <w:szCs w:val="21"/>
              </w:rPr>
            </w:pPr>
            <w:r>
              <w:rPr>
                <w:rFonts w:hint="eastAsia" w:ascii="Wingdings" w:hAnsi="Wingdings"/>
                <w:color w:val="FF0000"/>
                <w:spacing w:val="-10"/>
                <w:szCs w:val="21"/>
                <w:lang w:eastAsia="zh-CN"/>
              </w:rPr>
              <w:sym w:font="Wingdings 2" w:char="0052"/>
            </w:r>
            <w:r>
              <w:rPr>
                <w:rFonts w:hint="eastAsia" w:ascii="宋体" w:hAnsi="宋体"/>
                <w:color w:val="FF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FF0000"/>
                <w:szCs w:val="21"/>
              </w:rPr>
            </w:pPr>
            <w:r>
              <w:rPr>
                <w:rFonts w:hint="eastAsia" w:ascii="Wingdings" w:hAnsi="Wingdings"/>
                <w:color w:val="FF0000"/>
                <w:spacing w:val="-10"/>
                <w:szCs w:val="21"/>
                <w:lang w:eastAsia="zh-CN"/>
              </w:rPr>
              <w:sym w:font="Wingdings 2" w:char="0052"/>
            </w:r>
            <w:r>
              <w:rPr>
                <w:rFonts w:hint="eastAsia" w:ascii="宋体" w:hAnsi="宋体"/>
                <w:color w:val="FF0000"/>
                <w:spacing w:val="-10"/>
                <w:szCs w:val="21"/>
              </w:rPr>
              <w:t>不适用</w:t>
            </w:r>
          </w:p>
        </w:tc>
      </w:tr>
      <w:bookmark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FF0000"/>
                <w:szCs w:val="21"/>
              </w:rPr>
            </w:pPr>
            <w:r>
              <w:rPr>
                <w:rFonts w:hint="eastAsia" w:ascii="Wingdings" w:hAnsi="Wingdings"/>
                <w:color w:val="FF0000"/>
                <w:spacing w:val="-10"/>
                <w:szCs w:val="21"/>
                <w:lang w:eastAsia="zh-CN"/>
              </w:rPr>
              <w:sym w:font="Wingdings 2" w:char="0052"/>
            </w:r>
            <w:r>
              <w:rPr>
                <w:rFonts w:hint="eastAsia" w:ascii="宋体" w:hAnsi="宋体"/>
                <w:color w:val="FF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FF0000"/>
                <w:szCs w:val="21"/>
              </w:rPr>
            </w:pPr>
            <w:r>
              <w:rPr>
                <w:rFonts w:hint="eastAsia" w:ascii="Wingdings" w:hAnsi="Wingdings"/>
                <w:color w:val="FF0000"/>
                <w:spacing w:val="-10"/>
                <w:szCs w:val="21"/>
                <w:lang w:eastAsia="zh-CN"/>
              </w:rPr>
              <w:sym w:font="Wingdings 2" w:char="0052"/>
            </w:r>
            <w:r>
              <w:rPr>
                <w:rFonts w:hint="eastAsia" w:ascii="宋体" w:hAnsi="宋体"/>
                <w:color w:val="FF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2020</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21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5-6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年3月22日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lang w:eastAsia="zh-CN"/>
              </w:rPr>
              <w:t>焊接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焊接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6" w:name="二阶段审核日期"/>
            <w:r>
              <w:rPr>
                <w:rFonts w:hint="eastAsia" w:ascii="宋体"/>
                <w:b/>
                <w:color w:val="000000"/>
                <w:szCs w:val="21"/>
              </w:rPr>
              <w:t>2021-09-25</w:t>
            </w:r>
            <w:bookmarkEnd w:id="36"/>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汽车货柜的制造</w:t>
            </w:r>
          </w:p>
        </w:tc>
        <w:tc>
          <w:tcPr>
            <w:tcW w:w="1541" w:type="dxa"/>
            <w:vAlign w:val="center"/>
          </w:tcPr>
          <w:p>
            <w:pPr>
              <w:spacing w:line="400" w:lineRule="exact"/>
              <w:rPr>
                <w:rFonts w:ascii="宋体" w:hAnsi="宋体"/>
                <w:b/>
                <w:color w:val="000000"/>
                <w:szCs w:val="21"/>
              </w:rPr>
            </w:pPr>
            <w:bookmarkStart w:id="37" w:name="专业代码"/>
            <w:r>
              <w:t>22.02.00</w:t>
            </w:r>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rPr>
        <w:drawing>
          <wp:anchor distT="0" distB="0" distL="114300" distR="114300" simplePos="0" relativeHeight="251661312" behindDoc="0" locked="0" layoutInCell="1" allowOverlap="1">
            <wp:simplePos x="0" y="0"/>
            <wp:positionH relativeFrom="column">
              <wp:posOffset>1762125</wp:posOffset>
            </wp:positionH>
            <wp:positionV relativeFrom="paragraph">
              <wp:posOffset>6985</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cstate="print"/>
                    <a:stretch>
                      <a:fillRect/>
                    </a:stretch>
                  </pic:blipFill>
                  <pic:spPr>
                    <a:xfrm>
                      <a:off x="0" y="0"/>
                      <a:ext cx="544830" cy="24892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2021.9.25</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成都德伟久安汽车货柜有限公司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998"/>
        <w:gridCol w:w="1464"/>
        <w:gridCol w:w="1600"/>
        <w:gridCol w:w="1394"/>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38" w:type="dxa"/>
            <w:vAlign w:val="center"/>
          </w:tcPr>
          <w:p>
            <w:pPr>
              <w:snapToGrid w:val="0"/>
              <w:spacing w:line="280" w:lineRule="exact"/>
              <w:jc w:val="center"/>
              <w:rPr>
                <w:b/>
                <w:bCs/>
                <w:color w:val="000000"/>
                <w:szCs w:val="21"/>
              </w:rPr>
            </w:pPr>
            <w:r>
              <w:rPr>
                <w:rFonts w:hint="eastAsia"/>
                <w:b/>
                <w:bCs/>
                <w:color w:val="000000"/>
                <w:szCs w:val="21"/>
              </w:rPr>
              <w:t>序号</w:t>
            </w:r>
          </w:p>
        </w:tc>
        <w:tc>
          <w:tcPr>
            <w:tcW w:w="5462"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60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394"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3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462" w:type="dxa"/>
            <w:gridSpan w:val="2"/>
            <w:vAlign w:val="center"/>
          </w:tcPr>
          <w:p>
            <w:pPr>
              <w:pStyle w:val="6"/>
              <w:pBdr>
                <w:bottom w:val="none" w:color="auto" w:sz="0" w:space="0"/>
              </w:pBdr>
              <w:tabs>
                <w:tab w:val="center" w:pos="5737"/>
                <w:tab w:val="clear" w:pos="4153"/>
              </w:tabs>
              <w:jc w:val="both"/>
              <w:rPr>
                <w:color w:val="000000"/>
                <w:sz w:val="21"/>
                <w:szCs w:val="21"/>
              </w:rPr>
            </w:pPr>
            <w:r>
              <w:rPr>
                <w:rFonts w:hint="eastAsia"/>
                <w:color w:val="000000"/>
                <w:sz w:val="21"/>
                <w:szCs w:val="21"/>
              </w:rPr>
              <w:t>不能提供卷尺、游标卡尺、电子台秤计量器具的检定证书</w:t>
            </w:r>
          </w:p>
        </w:tc>
        <w:tc>
          <w:tcPr>
            <w:tcW w:w="1600" w:type="dxa"/>
            <w:vAlign w:val="center"/>
          </w:tcPr>
          <w:p>
            <w:pPr>
              <w:pStyle w:val="6"/>
              <w:pBdr>
                <w:bottom w:val="none" w:color="auto" w:sz="0" w:space="0"/>
              </w:pBdr>
              <w:ind w:right="600"/>
              <w:jc w:val="both"/>
              <w:rPr>
                <w:color w:val="000000"/>
                <w:sz w:val="21"/>
                <w:szCs w:val="21"/>
              </w:rPr>
            </w:pPr>
            <w:r>
              <w:rPr>
                <w:rFonts w:hint="eastAsia"/>
                <w:color w:val="000000"/>
                <w:sz w:val="21"/>
                <w:szCs w:val="21"/>
              </w:rPr>
              <w:t>GB/T19001-2016</w:t>
            </w:r>
          </w:p>
        </w:tc>
        <w:tc>
          <w:tcPr>
            <w:tcW w:w="1394"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7.1.5</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38" w:type="dxa"/>
            <w:vAlign w:val="center"/>
          </w:tcPr>
          <w:p>
            <w:pPr>
              <w:pStyle w:val="6"/>
              <w:pBdr>
                <w:bottom w:val="none" w:color="auto" w:sz="0" w:space="0"/>
              </w:pBdr>
              <w:ind w:right="600"/>
              <w:jc w:val="both"/>
              <w:rPr>
                <w:rFonts w:ascii="宋体"/>
                <w:color w:val="000000"/>
                <w:sz w:val="21"/>
                <w:szCs w:val="21"/>
              </w:rPr>
            </w:pPr>
          </w:p>
        </w:tc>
        <w:tc>
          <w:tcPr>
            <w:tcW w:w="5462"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600" w:type="dxa"/>
            <w:vAlign w:val="center"/>
          </w:tcPr>
          <w:p>
            <w:pPr>
              <w:pStyle w:val="6"/>
              <w:pBdr>
                <w:bottom w:val="none" w:color="auto" w:sz="0" w:space="0"/>
              </w:pBdr>
              <w:ind w:right="600"/>
              <w:jc w:val="both"/>
              <w:rPr>
                <w:color w:val="000000"/>
                <w:sz w:val="21"/>
                <w:szCs w:val="21"/>
              </w:rPr>
            </w:pPr>
          </w:p>
        </w:tc>
        <w:tc>
          <w:tcPr>
            <w:tcW w:w="1394"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38" w:type="dxa"/>
            <w:vAlign w:val="center"/>
          </w:tcPr>
          <w:p>
            <w:pPr>
              <w:pStyle w:val="6"/>
              <w:pBdr>
                <w:bottom w:val="none" w:color="auto" w:sz="0" w:space="0"/>
              </w:pBdr>
              <w:ind w:right="600"/>
              <w:jc w:val="both"/>
              <w:rPr>
                <w:rFonts w:ascii="宋体"/>
                <w:color w:val="000000"/>
                <w:sz w:val="21"/>
                <w:szCs w:val="21"/>
              </w:rPr>
            </w:pPr>
          </w:p>
        </w:tc>
        <w:tc>
          <w:tcPr>
            <w:tcW w:w="5462"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600" w:type="dxa"/>
            <w:vAlign w:val="center"/>
          </w:tcPr>
          <w:p>
            <w:pPr>
              <w:pStyle w:val="6"/>
              <w:pBdr>
                <w:bottom w:val="none" w:color="auto" w:sz="0" w:space="0"/>
              </w:pBdr>
              <w:ind w:right="600"/>
              <w:jc w:val="both"/>
              <w:rPr>
                <w:color w:val="000000"/>
                <w:sz w:val="21"/>
                <w:szCs w:val="21"/>
              </w:rPr>
            </w:pPr>
          </w:p>
        </w:tc>
        <w:tc>
          <w:tcPr>
            <w:tcW w:w="1394"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38" w:type="dxa"/>
            <w:vAlign w:val="center"/>
          </w:tcPr>
          <w:p>
            <w:pPr>
              <w:pStyle w:val="6"/>
              <w:pBdr>
                <w:bottom w:val="none" w:color="auto" w:sz="0" w:space="0"/>
              </w:pBdr>
              <w:ind w:right="600"/>
              <w:jc w:val="both"/>
              <w:rPr>
                <w:rFonts w:ascii="宋体"/>
                <w:color w:val="000000"/>
                <w:sz w:val="21"/>
                <w:szCs w:val="21"/>
              </w:rPr>
            </w:pPr>
          </w:p>
        </w:tc>
        <w:tc>
          <w:tcPr>
            <w:tcW w:w="5462"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600" w:type="dxa"/>
            <w:vAlign w:val="center"/>
          </w:tcPr>
          <w:p>
            <w:pPr>
              <w:pStyle w:val="6"/>
              <w:pBdr>
                <w:bottom w:val="none" w:color="auto" w:sz="0" w:space="0"/>
              </w:pBdr>
              <w:ind w:right="600"/>
              <w:jc w:val="both"/>
              <w:rPr>
                <w:color w:val="000000"/>
                <w:sz w:val="21"/>
                <w:szCs w:val="21"/>
              </w:rPr>
            </w:pPr>
          </w:p>
        </w:tc>
        <w:tc>
          <w:tcPr>
            <w:tcW w:w="1394"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38" w:type="dxa"/>
            <w:vAlign w:val="center"/>
          </w:tcPr>
          <w:p>
            <w:pPr>
              <w:pStyle w:val="6"/>
              <w:pBdr>
                <w:bottom w:val="none" w:color="auto" w:sz="0" w:space="0"/>
              </w:pBdr>
              <w:ind w:right="600"/>
              <w:jc w:val="both"/>
              <w:rPr>
                <w:rFonts w:ascii="宋体"/>
                <w:color w:val="000000"/>
                <w:sz w:val="21"/>
                <w:szCs w:val="21"/>
              </w:rPr>
            </w:pPr>
          </w:p>
        </w:tc>
        <w:tc>
          <w:tcPr>
            <w:tcW w:w="5462"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600" w:type="dxa"/>
            <w:vAlign w:val="center"/>
          </w:tcPr>
          <w:p>
            <w:pPr>
              <w:pStyle w:val="6"/>
              <w:pBdr>
                <w:bottom w:val="none" w:color="auto" w:sz="0" w:space="0"/>
              </w:pBdr>
              <w:ind w:right="600"/>
              <w:jc w:val="both"/>
              <w:rPr>
                <w:color w:val="000000"/>
                <w:sz w:val="21"/>
                <w:szCs w:val="21"/>
              </w:rPr>
            </w:pPr>
          </w:p>
        </w:tc>
        <w:tc>
          <w:tcPr>
            <w:tcW w:w="1394"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rPr>
              <w:drawing>
                <wp:anchor distT="0" distB="0" distL="114300" distR="114300" simplePos="0" relativeHeight="251662336" behindDoc="0" locked="0" layoutInCell="1" allowOverlap="1">
                  <wp:simplePos x="0" y="0"/>
                  <wp:positionH relativeFrom="column">
                    <wp:posOffset>627380</wp:posOffset>
                  </wp:positionH>
                  <wp:positionV relativeFrom="paragraph">
                    <wp:posOffset>29845</wp:posOffset>
                  </wp:positionV>
                  <wp:extent cx="544830" cy="248920"/>
                  <wp:effectExtent l="0" t="0" r="7620" b="17780"/>
                  <wp:wrapNone/>
                  <wp:docPr id="1" name="图片 1"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ac17c702f787ebcb7b5ad453f94b0"/>
                          <pic:cNvPicPr>
                            <a:picLocks noChangeAspect="1"/>
                          </pic:cNvPicPr>
                        </pic:nvPicPr>
                        <pic:blipFill>
                          <a:blip r:embed="rId6" cstate="print"/>
                          <a:stretch>
                            <a:fillRect/>
                          </a:stretch>
                        </pic:blipFill>
                        <pic:spPr>
                          <a:xfrm>
                            <a:off x="0" y="0"/>
                            <a:ext cx="544830" cy="24892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25</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25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rPr>
              <w:drawing>
                <wp:anchor distT="0" distB="0" distL="114300" distR="114300" simplePos="0" relativeHeight="251663360" behindDoc="0" locked="0" layoutInCell="1" allowOverlap="1">
                  <wp:simplePos x="0" y="0"/>
                  <wp:positionH relativeFrom="column">
                    <wp:posOffset>502285</wp:posOffset>
                  </wp:positionH>
                  <wp:positionV relativeFrom="paragraph">
                    <wp:posOffset>97790</wp:posOffset>
                  </wp:positionV>
                  <wp:extent cx="544830" cy="248920"/>
                  <wp:effectExtent l="0" t="0" r="7620" b="17780"/>
                  <wp:wrapNone/>
                  <wp:docPr id="4" name="图片 4"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7ac17c702f787ebcb7b5ad453f94b0"/>
                          <pic:cNvPicPr>
                            <a:picLocks noChangeAspect="1"/>
                          </pic:cNvPicPr>
                        </pic:nvPicPr>
                        <pic:blipFill>
                          <a:blip r:embed="rId6" cstate="print"/>
                          <a:stretch>
                            <a:fillRect/>
                          </a:stretch>
                        </pic:blipFill>
                        <pic:spPr>
                          <a:xfrm>
                            <a:off x="0" y="0"/>
                            <a:ext cx="544830" cy="24892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25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2" w:usb3="00000000" w:csb0="4002009F" w:csb1="DFD70000"/>
  </w:font>
  <w:font w:name="Kozuka Mincho Pro M">
    <w:panose1 w:val="02020600000000000000"/>
    <w:charset w:val="80"/>
    <w:family w:val="auto"/>
    <w:pitch w:val="default"/>
    <w:sig w:usb0="00000083" w:usb1="2AC71C11" w:usb2="00000012" w:usb3="00000000" w:csb0="2002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0C96FEC"/>
    <w:rsid w:val="02796049"/>
    <w:rsid w:val="032642D9"/>
    <w:rsid w:val="0A602E8C"/>
    <w:rsid w:val="0D4436D7"/>
    <w:rsid w:val="0DC46F5E"/>
    <w:rsid w:val="14455431"/>
    <w:rsid w:val="17CD50F4"/>
    <w:rsid w:val="1B655164"/>
    <w:rsid w:val="1C25073B"/>
    <w:rsid w:val="1CC620E7"/>
    <w:rsid w:val="1E8F5EDF"/>
    <w:rsid w:val="1FE61AB6"/>
    <w:rsid w:val="23C426A2"/>
    <w:rsid w:val="24DE1901"/>
    <w:rsid w:val="29B43E92"/>
    <w:rsid w:val="2DD836C4"/>
    <w:rsid w:val="326C3B4E"/>
    <w:rsid w:val="34A65F5A"/>
    <w:rsid w:val="37A836A5"/>
    <w:rsid w:val="388C2A1F"/>
    <w:rsid w:val="3CC80A55"/>
    <w:rsid w:val="415534E4"/>
    <w:rsid w:val="45E54898"/>
    <w:rsid w:val="46DB3A6F"/>
    <w:rsid w:val="475D6629"/>
    <w:rsid w:val="48891ECB"/>
    <w:rsid w:val="505003F5"/>
    <w:rsid w:val="53F83E19"/>
    <w:rsid w:val="5C850A09"/>
    <w:rsid w:val="5CB12977"/>
    <w:rsid w:val="613875AA"/>
    <w:rsid w:val="63612968"/>
    <w:rsid w:val="661023C0"/>
    <w:rsid w:val="6A3A234C"/>
    <w:rsid w:val="6E1D4F9B"/>
    <w:rsid w:val="6E3E053C"/>
    <w:rsid w:val="7376579F"/>
    <w:rsid w:val="78E9365F"/>
    <w:rsid w:val="7A4810D1"/>
    <w:rsid w:val="7D976708"/>
    <w:rsid w:val="7FCA6A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0</TotalTime>
  <ScaleCrop>false</ScaleCrop>
  <LinksUpToDate>false</LinksUpToDate>
  <CharactersWithSpaces>9455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2021-10-12T05:52:14Z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