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ind w:firstLine="2811" w:firstLineChars="100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07"/>
        <w:gridCol w:w="1177"/>
        <w:gridCol w:w="1889"/>
        <w:gridCol w:w="1081"/>
        <w:gridCol w:w="36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电缆滚筒开档尺寸测量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JK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JK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-ZYZD-202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黑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电缆滚筒开档尺寸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测量作业指导书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（0-300）mm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（0-300）mm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黑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电缆滚筒开档尺寸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197.26mm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（0-300）mm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黑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电缆滚筒开档尺寸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197.30m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0.08mm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15010" cy="415925"/>
                  <wp:effectExtent l="0" t="0" r="8255" b="3175"/>
                  <wp:docPr id="5" name="图片 5" descr="b125619acf446e270ee25879830d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125619acf446e270ee25879830db8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C3BEBA">
                                  <a:alpha val="100000"/>
                                </a:srgbClr>
                              </a:clrFrom>
                              <a:clrTo>
                                <a:srgbClr val="C3BEB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1947" t="46617" r="45084" b="43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日期：2021年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AE42835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664FD0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53771B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701A5F"/>
    <w:rsid w:val="45DD7880"/>
    <w:rsid w:val="46E35D88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FF2772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1F522D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1D66A2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846F28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2021-09-25T08:56:57Z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EB8179DBB53A4F1DAA9D0EF67A343C48</vt:lpwstr>
  </property>
</Properties>
</file>