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098"/>
        <w:gridCol w:w="1168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大庆云博石油科技有限公司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25050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便携式压力效验仪0.02级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74709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150-175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量块0.5μm+5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n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(K=2.58)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4508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W-4375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50-75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量块0.5μm+5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n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(K=2.58)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1418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光栅式指示表检定仪U=1μmK=2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8304747</w:t>
            </w: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0-320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U=1′K=2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标准硬度块MPE:±2′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公司已制定《计量确认管理程序》、《外部供方管理程序》，《测量设备溯源管理程序》，公司未建最高计量标准，测量设备由生产技术部负责溯源。公司测量设备全部委托中国航发南方工业有限公司计量实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验室机构检定/校准，校准/检定证书由生产技术部保存。根据抽查情况，该公司的校准情况符合溯源性要求。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13715" cy="356870"/>
                  <wp:effectExtent l="0" t="0" r="6985" b="11430"/>
                  <wp:docPr id="2" name="图片 2" descr="2e3454399143aa60677505acc381b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e3454399143aa60677505acc381b2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0115" t="52597" r="58058" b="38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83E25"/>
    <w:rsid w:val="11963D16"/>
    <w:rsid w:val="27AA649A"/>
    <w:rsid w:val="4C090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2021-10-15T10:52:35Z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EDA7711FC7B1468EA484CC424D99D34D</vt:lpwstr>
  </property>
</Properties>
</file>