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020"/>
        <w:gridCol w:w="1965"/>
        <w:gridCol w:w="91"/>
        <w:gridCol w:w="143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重庆味典餐饮管理有限公司</w:t>
            </w:r>
            <w:bookmarkEnd w:id="7"/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专业小类/项目代码</w:t>
            </w:r>
          </w:p>
        </w:tc>
        <w:tc>
          <w:tcPr>
            <w:tcW w:w="561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both"/>
              <w:textAlignment w:val="auto"/>
              <w:rPr>
                <w:rFonts w:hint="eastAsia"/>
                <w:b/>
                <w:sz w:val="20"/>
                <w:lang w:eastAsia="zh-CN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29.07.01;29.07.02;29.07.03;29.07.04;29.07.06;29.07.07;29.07.08;30.05.00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both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O：29.07.01;29.07.02;29.07.03;29.07.04;29.07.06;29.07.07;29.07.08;30.05.00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both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F：E;FI-2</w:t>
            </w:r>
            <w:bookmarkEnd w:id="8"/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48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left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Q：29.07.01;29.07.02;29.07.03;29.07.04;29.07.06;29.07.07;29.07.08;30.05.00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left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O：29.07.01;29.07.02;29.07.03;29.07.04;29.07.06;29.07.07;29.07.08;30.05.00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F：E;FI-2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400" w:firstLineChars="200"/>
              <w:jc w:val="both"/>
              <w:textAlignment w:val="auto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Chars="0" w:firstLine="200" w:firstLineChars="100"/>
              <w:jc w:val="both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触电——安装漏电保护装置；机械伤害——安装联锁装置</w:t>
            </w: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火灾——配备消防设施；油烟排放——使用吸油烟机；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24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4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QF: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等</w:t>
            </w:r>
          </w:p>
          <w:p>
            <w:pPr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采购→验证→入库→储存（适用时）→接订单→出库→运输→交付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</w:t>
            </w:r>
          </w:p>
          <w:p>
            <w:pPr>
              <w:snapToGrid w:val="0"/>
              <w:spacing w:line="240" w:lineRule="auto"/>
              <w:jc w:val="both"/>
              <w:rPr>
                <w:rFonts w:hint="default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火灾——按时进行电路检查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车辆事故——进行司机的安全教育，按时进行车况检查</w:t>
            </w: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有害微生物感染——定期消毒、严格索证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QF: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食品批发和零售企业要求》GB 31621-2014 《食品安全国家标准 食品经营过程卫生规范》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  <w:highlight w:val="none"/>
              </w:rPr>
              <w:t>项目：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感官</w:t>
            </w:r>
            <w:r>
              <w:rPr>
                <w:rFonts w:hint="eastAsia"/>
                <w:b/>
                <w:sz w:val="20"/>
                <w:highlight w:val="none"/>
              </w:rPr>
              <w:t>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包装完好、索证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餐饮行业专业知识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食品销售行业专业知识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2021-09-25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杨珍全，肖新龙</w:t>
            </w:r>
            <w:bookmarkEnd w:id="9"/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2021-09-25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10" w:name="_GoBack"/>
      <w:bookmarkEnd w:id="10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7AD6EA4"/>
    <w:rsid w:val="6DE24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9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2021-09-28T15:42:00Z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