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pacing w:line="240" w:lineRule="auto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3"/>
        <w:gridCol w:w="980"/>
        <w:gridCol w:w="820"/>
        <w:gridCol w:w="867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211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62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四川兴千载科技有限公司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E:29.12.00,33.02.03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O:29.12.00,33.02.03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黄晓群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bookmarkStart w:id="8" w:name="_GoBack"/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销售流程：接到客户业务咨询（资料图纸）→与供应商前期沟通→签订合同（支付预付款）→安排生产（制造）→产品入库（供应商）→物流安排（供应商）→提货、交货、验货（支付余款）→清算、交易结束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技术服务流程：接到客户需求→与技术部前期沟通→签订合同（支付预付款）→拟定工作表→周期进度安排实施→提供勘察成果资料、规划文本、电子图片、视频（支付余款）→清算、交易结束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家具安装流程：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接到客户业务咨询（资料图纸）→与供应商前期沟通→签订合同（支付预付款）→物流安排（供应商）→安排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→清算、交易结束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过程存在风险有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紧固度、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功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能等不合格，采取拟定作业指导书和检验标准进行控制。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服务和销售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过程中存在火灾、触电伤害风险；采取管理方案和应急预案进行控制；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重要环境因素：潜在火灾、固体废弃（含危废）物排放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不可接受风险：潜在火灾、触电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控制措施：危险源管理方案、运行控制程序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民共和国安全生产法、中华人民共和国环境影响评价法、中华人民共和国消防法、中华人民共和国职业病防治法、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家具力学性能试验 椅、凳类稳定性GB/T 10357.2-1989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 桌、椅、凳类主要尺寸GB/T 3326-1997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《中华人民共和国文物保护法》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《非物质文化遗产法》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67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163830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2021.9.22</w:t>
            </w:r>
          </w:p>
        </w:tc>
      </w:tr>
    </w:tbl>
    <w:p>
      <w:pPr>
        <w:snapToGrid w:val="0"/>
        <w:spacing w:line="240" w:lineRule="auto"/>
        <w:rPr>
          <w:rFonts w:ascii="宋体"/>
          <w:b/>
          <w:sz w:val="22"/>
          <w:szCs w:val="22"/>
        </w:rPr>
      </w:pPr>
    </w:p>
    <w:p>
      <w:pPr>
        <w:snapToGrid w:val="0"/>
        <w:spacing w:line="240" w:lineRule="auto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rPr>
          <w:rFonts w:hint="default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6600999"/>
    <w:rsid w:val="79880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9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2021-09-23T05:16:25Z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