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0990-2021-EO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运城鑫工科技有限公司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2021年09月24日 下午至2021年09月24日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05"/>
        <w:gridCol w:w="1805"/>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205" w:type="dxa"/>
            <w:vAlign w:val="center"/>
          </w:tcPr>
          <w:p>
            <w:pPr>
              <w:spacing w:line="240" w:lineRule="exact"/>
              <w:jc w:val="center"/>
              <w:rPr>
                <w:b/>
                <w:color w:val="000000"/>
                <w:szCs w:val="21"/>
              </w:rPr>
            </w:pPr>
            <w:r>
              <w:rPr>
                <w:rFonts w:hint="eastAsia"/>
                <w:szCs w:val="21"/>
              </w:rPr>
              <w:t>审核员注册证书号</w:t>
            </w:r>
          </w:p>
        </w:tc>
        <w:tc>
          <w:tcPr>
            <w:tcW w:w="1805"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205" w:type="dxa"/>
            <w:vAlign w:val="center"/>
          </w:tcPr>
          <w:p>
            <w:pPr>
              <w:spacing w:line="240" w:lineRule="exact"/>
              <w:jc w:val="center"/>
              <w:rPr>
                <w:b/>
                <w:color w:val="000000"/>
                <w:szCs w:val="21"/>
              </w:rPr>
            </w:pPr>
            <w:r>
              <w:rPr>
                <w:b/>
                <w:color w:val="000000"/>
                <w:szCs w:val="21"/>
              </w:rPr>
              <w:t>2018-N1EMS-1222792</w:t>
            </w:r>
          </w:p>
          <w:p>
            <w:pPr>
              <w:spacing w:line="240" w:lineRule="exact"/>
              <w:jc w:val="center"/>
              <w:rPr>
                <w:b/>
                <w:color w:val="000000"/>
                <w:szCs w:val="21"/>
              </w:rPr>
            </w:pPr>
            <w:r>
              <w:rPr>
                <w:b/>
                <w:color w:val="000000"/>
                <w:szCs w:val="21"/>
              </w:rPr>
              <w:t>2018-N1OHSMS-1222792</w:t>
            </w:r>
          </w:p>
        </w:tc>
        <w:tc>
          <w:tcPr>
            <w:tcW w:w="1805" w:type="dxa"/>
            <w:vAlign w:val="center"/>
          </w:tcPr>
          <w:p>
            <w:pPr>
              <w:spacing w:line="240" w:lineRule="exact"/>
              <w:jc w:val="center"/>
              <w:rPr>
                <w:b/>
                <w:color w:val="000000"/>
                <w:szCs w:val="21"/>
              </w:rPr>
            </w:pPr>
            <w:r>
              <w:rPr>
                <w:b/>
                <w:color w:val="000000"/>
                <w:szCs w:val="21"/>
              </w:rPr>
              <w:t>E:17.10.01,17.10.02,17.12.05</w:t>
            </w:r>
          </w:p>
          <w:p>
            <w:pPr>
              <w:spacing w:line="240" w:lineRule="exact"/>
              <w:jc w:val="center"/>
              <w:rPr>
                <w:b/>
                <w:color w:val="000000"/>
                <w:szCs w:val="21"/>
              </w:rPr>
            </w:pPr>
            <w:r>
              <w:rPr>
                <w:b/>
                <w:color w:val="000000"/>
                <w:szCs w:val="21"/>
              </w:rPr>
              <w:t>O:17.10.01,17.10.02,17.12.05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205" w:type="dxa"/>
            <w:vAlign w:val="center"/>
          </w:tcPr>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805" w:type="dxa"/>
            <w:vAlign w:val="center"/>
          </w:tcPr>
          <w:p>
            <w:pPr>
              <w:spacing w:line="240" w:lineRule="exact"/>
              <w:jc w:val="center"/>
              <w:rPr>
                <w:b/>
                <w:color w:val="000000"/>
                <w:szCs w:val="21"/>
              </w:rPr>
            </w:pPr>
            <w:r>
              <w:rPr>
                <w:b/>
                <w:color w:val="000000"/>
                <w:szCs w:val="21"/>
              </w:rPr>
              <w:t>E:17.10.01,17.10.02,17.12.05</w:t>
            </w:r>
          </w:p>
          <w:p>
            <w:pPr>
              <w:spacing w:line="240" w:lineRule="exact"/>
              <w:jc w:val="center"/>
              <w:rPr>
                <w:b/>
                <w:color w:val="000000"/>
                <w:szCs w:val="21"/>
              </w:rPr>
            </w:pPr>
            <w:r>
              <w:rPr>
                <w:b/>
                <w:color w:val="000000"/>
                <w:szCs w:val="21"/>
              </w:rPr>
              <w:t>O:17.10.01,17.10.02,17.12.05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205" w:type="dxa"/>
            <w:vAlign w:val="center"/>
          </w:tcPr>
          <w:p>
            <w:pPr>
              <w:spacing w:line="240" w:lineRule="exact"/>
              <w:jc w:val="center"/>
              <w:rPr>
                <w:b/>
                <w:color w:val="000000"/>
                <w:szCs w:val="21"/>
              </w:rPr>
            </w:pPr>
            <w:r>
              <w:rPr>
                <w:b/>
                <w:color w:val="000000"/>
                <w:szCs w:val="21"/>
              </w:rPr>
              <w:t>2020-N1EMS-1263290</w:t>
            </w:r>
          </w:p>
        </w:tc>
        <w:tc>
          <w:tcPr>
            <w:tcW w:w="1805" w:type="dxa"/>
            <w:vAlign w:val="center"/>
          </w:tcPr>
          <w:p>
            <w:pPr>
              <w:spacing w:line="240" w:lineRule="exact"/>
              <w:jc w:val="center"/>
              <w:rPr>
                <w:b/>
                <w:color w:val="000000"/>
                <w:szCs w:val="21"/>
              </w:rPr>
            </w:pPr>
            <w:r>
              <w:rPr>
                <w:b/>
                <w:color w:val="000000"/>
                <w:szCs w:val="21"/>
              </w:rPr>
              <w:t>E:17.10.01,17.10.02,17.12.05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205" w:type="dxa"/>
            <w:vAlign w:val="center"/>
          </w:tcPr>
          <w:p>
            <w:pPr>
              <w:rPr>
                <w:b/>
                <w:color w:val="000000"/>
                <w:szCs w:val="21"/>
              </w:rPr>
            </w:pPr>
          </w:p>
        </w:tc>
        <w:tc>
          <w:tcPr>
            <w:tcW w:w="1805"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205" w:type="dxa"/>
            <w:vAlign w:val="center"/>
          </w:tcPr>
          <w:p>
            <w:pPr>
              <w:rPr>
                <w:b/>
                <w:color w:val="000000"/>
                <w:szCs w:val="21"/>
              </w:rPr>
            </w:pPr>
          </w:p>
        </w:tc>
        <w:tc>
          <w:tcPr>
            <w:tcW w:w="1805"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205" w:type="dxa"/>
            <w:vAlign w:val="center"/>
          </w:tcPr>
          <w:p>
            <w:pPr>
              <w:rPr>
                <w:b/>
                <w:color w:val="000000"/>
                <w:szCs w:val="21"/>
              </w:rPr>
            </w:pPr>
          </w:p>
        </w:tc>
        <w:tc>
          <w:tcPr>
            <w:tcW w:w="1805"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205" w:type="dxa"/>
            <w:vAlign w:val="center"/>
          </w:tcPr>
          <w:p>
            <w:pPr>
              <w:rPr>
                <w:b/>
                <w:color w:val="000000"/>
                <w:szCs w:val="21"/>
              </w:rPr>
            </w:pPr>
          </w:p>
        </w:tc>
        <w:tc>
          <w:tcPr>
            <w:tcW w:w="1805"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205" w:type="dxa"/>
            <w:vAlign w:val="center"/>
          </w:tcPr>
          <w:p>
            <w:pPr>
              <w:rPr>
                <w:b/>
                <w:color w:val="000000"/>
                <w:szCs w:val="21"/>
              </w:rPr>
            </w:pPr>
          </w:p>
        </w:tc>
        <w:tc>
          <w:tcPr>
            <w:tcW w:w="1805"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205" w:type="dxa"/>
            <w:vAlign w:val="center"/>
          </w:tcPr>
          <w:p>
            <w:pPr>
              <w:rPr>
                <w:b/>
                <w:color w:val="000000"/>
                <w:szCs w:val="21"/>
              </w:rPr>
            </w:pPr>
            <w:r>
              <w:rPr>
                <w:rFonts w:hint="eastAsia"/>
                <w:b/>
                <w:color w:val="000000"/>
                <w:szCs w:val="21"/>
              </w:rPr>
              <w:t>工作单位</w:t>
            </w:r>
          </w:p>
        </w:tc>
        <w:tc>
          <w:tcPr>
            <w:tcW w:w="2893"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205" w:type="dxa"/>
            <w:vAlign w:val="center"/>
          </w:tcPr>
          <w:p>
            <w:pPr>
              <w:rPr>
                <w:b/>
                <w:color w:val="000000"/>
                <w:szCs w:val="21"/>
              </w:rPr>
            </w:pPr>
          </w:p>
        </w:tc>
        <w:tc>
          <w:tcPr>
            <w:tcW w:w="2893"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205" w:type="dxa"/>
            <w:vAlign w:val="center"/>
          </w:tcPr>
          <w:p>
            <w:pPr>
              <w:rPr>
                <w:b/>
                <w:color w:val="000000"/>
                <w:szCs w:val="21"/>
                <w:highlight w:val="green"/>
              </w:rPr>
            </w:pPr>
          </w:p>
        </w:tc>
        <w:tc>
          <w:tcPr>
            <w:tcW w:w="2893"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运城鑫工科技有限公司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运城市盐湖工业园区涑水大道10号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044000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运城市盐湖工业园区涑水大道10号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044000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樊永博</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13653593556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谢解生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樊永博</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产品：E：一般机械加工；电力铁附件（电力铁塔、钢管杆）的加工及销售所涉及场所的相关环境管理活动</w:t>
            </w:r>
          </w:p>
          <w:p>
            <w:pPr>
              <w:tabs>
                <w:tab w:val="left" w:pos="360"/>
              </w:tabs>
              <w:ind w:left="360" w:hanging="360"/>
              <w:rPr>
                <w:rFonts w:ascii="宋体" w:hAnsi="宋体"/>
                <w:b/>
                <w:color w:val="000000"/>
                <w:szCs w:val="21"/>
              </w:rPr>
            </w:pPr>
            <w:r>
              <w:rPr>
                <w:rFonts w:hint="eastAsia" w:ascii="宋体" w:hAnsi="宋体"/>
                <w:b/>
                <w:color w:val="000000"/>
                <w:szCs w:val="21"/>
              </w:rPr>
              <w:t>O：一般机械加工；电力铁附件（电力铁塔、钢管杆）的加工及销售所涉及场所的相关职业健康安全管理活动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一般机械加工：生产计划-生产准备（人员、设备（包括工装）、产品图、工艺图、量具、原材料（毛坯及供方提供的粗加工件）-机械加工（一次加工）-过程检验-表面处理（打磨）-精加工-检验-包装/入库/交付</w:t>
            </w:r>
          </w:p>
          <w:p>
            <w:pPr>
              <w:tabs>
                <w:tab w:val="left" w:pos="360"/>
              </w:tabs>
              <w:ind w:left="360" w:hanging="360"/>
              <w:rPr>
                <w:rFonts w:ascii="宋体"/>
                <w:color w:val="000000"/>
                <w:szCs w:val="21"/>
              </w:rPr>
            </w:pPr>
            <w:r>
              <w:rPr>
                <w:rFonts w:hint="eastAsia" w:ascii="宋体"/>
                <w:color w:val="000000"/>
                <w:szCs w:val="21"/>
              </w:rPr>
              <w:t>电力铁附件的加工：原材料-切割下料-冲床-折边-焊接-打磨-成品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一般机械加工；电力铁附件（电力铁塔、钢管杆）的加工及销售所涉及场所的相关环境管理活动</w:t>
            </w:r>
          </w:p>
        </w:tc>
        <w:tc>
          <w:tcPr>
            <w:tcW w:w="2006" w:type="dxa"/>
            <w:gridSpan w:val="3"/>
            <w:vAlign w:val="center"/>
          </w:tcPr>
          <w:p>
            <w:pPr>
              <w:spacing w:line="400" w:lineRule="exact"/>
              <w:rPr>
                <w:rFonts w:ascii="宋体" w:hAnsi="宋体"/>
                <w:b/>
                <w:color w:val="000000"/>
                <w:szCs w:val="21"/>
              </w:rPr>
            </w:pPr>
            <w:r>
              <w:rPr>
                <w:b/>
                <w:color w:val="000000"/>
                <w:szCs w:val="21"/>
              </w:rPr>
              <w:t>17.10.01,17.10.02,17.12.05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一般机械加工；电力铁附件（电力铁塔、钢管杆）的加工及销售所涉及场所的相关职业健康安全管理活动</w:t>
            </w:r>
          </w:p>
        </w:tc>
        <w:tc>
          <w:tcPr>
            <w:tcW w:w="2006" w:type="dxa"/>
            <w:gridSpan w:val="3"/>
            <w:vAlign w:val="center"/>
          </w:tcPr>
          <w:p>
            <w:pPr>
              <w:spacing w:line="400" w:lineRule="exact"/>
              <w:rPr>
                <w:rFonts w:ascii="宋体" w:hAnsi="宋体"/>
                <w:b/>
                <w:color w:val="000000"/>
                <w:szCs w:val="21"/>
              </w:rPr>
            </w:pPr>
            <w:r>
              <w:rPr>
                <w:b/>
                <w:color w:val="000000"/>
                <w:szCs w:val="21"/>
              </w:rPr>
              <w:t>17.10.01,17.10.02,17.12.05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708"/>
        <w:gridCol w:w="76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708"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76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运城鑫工科技有限公司</w:t>
            </w:r>
            <w:r>
              <w:rPr>
                <w:rFonts w:hint="eastAsia" w:ascii="宋体"/>
                <w:b/>
                <w:color w:val="000000"/>
                <w:szCs w:val="21"/>
                <w:lang w:val="en-US" w:eastAsia="zh-CN"/>
              </w:rPr>
              <w:t>/运城市盐湖工业园区涑水大道10号</w:t>
            </w:r>
          </w:p>
        </w:tc>
        <w:tc>
          <w:tcPr>
            <w:tcW w:w="2267" w:type="dxa"/>
          </w:tcPr>
          <w:p>
            <w:pPr>
              <w:spacing w:before="40" w:after="40"/>
              <w:rPr>
                <w:rFonts w:eastAsia="黑体"/>
                <w:szCs w:val="21"/>
                <w:lang w:val="de-DE" w:eastAsia="ja-JP"/>
              </w:rPr>
            </w:pPr>
            <w:r>
              <w:rPr>
                <w:rFonts w:hint="eastAsia" w:eastAsia="黑体"/>
                <w:szCs w:val="21"/>
                <w:lang w:val="de-DE" w:eastAsia="ja-JP"/>
              </w:rPr>
              <w:t>运城市盐湖工业园区涑水大道10号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28</w:t>
            </w:r>
          </w:p>
        </w:tc>
        <w:tc>
          <w:tcPr>
            <w:tcW w:w="2708" w:type="dxa"/>
            <w:vAlign w:val="center"/>
          </w:tcPr>
          <w:p>
            <w:pPr>
              <w:pStyle w:val="19"/>
              <w:rPr>
                <w:rFonts w:hint="eastAsia" w:eastAsia="黑体" w:cs="Arial"/>
                <w:sz w:val="21"/>
                <w:szCs w:val="21"/>
                <w:lang w:val="en-US" w:eastAsia="ja-JP"/>
              </w:rPr>
            </w:pPr>
            <w:r>
              <w:rPr>
                <w:rFonts w:hint="eastAsia" w:eastAsia="黑体" w:cs="Arial"/>
                <w:sz w:val="21"/>
                <w:szCs w:val="21"/>
                <w:lang w:val="en-US" w:eastAsia="ja-JP"/>
              </w:rPr>
              <w:t>E：一般机械加工；电力铁附件（电力铁塔、钢管杆）的加工及销售所涉及场所的相关环境管理活动</w:t>
            </w:r>
          </w:p>
          <w:p>
            <w:pPr>
              <w:pStyle w:val="19"/>
              <w:rPr>
                <w:rFonts w:eastAsia="黑体" w:cs="Arial"/>
                <w:sz w:val="21"/>
                <w:szCs w:val="21"/>
                <w:lang w:val="en-US" w:eastAsia="ja-JP"/>
              </w:rPr>
            </w:pPr>
            <w:r>
              <w:rPr>
                <w:rFonts w:hint="eastAsia" w:eastAsia="黑体" w:cs="Arial"/>
                <w:sz w:val="21"/>
                <w:szCs w:val="21"/>
                <w:lang w:val="en-US" w:eastAsia="ja-JP"/>
              </w:rPr>
              <w:t>O：一般机械加工；电力铁附件（电力铁塔、钢管杆）的加工及销售所涉及场所的相关职业健康安全管理活动</w:t>
            </w:r>
          </w:p>
        </w:tc>
        <w:tc>
          <w:tcPr>
            <w:tcW w:w="764" w:type="dxa"/>
            <w:vAlign w:val="center"/>
          </w:tcPr>
          <w:p>
            <w:pPr>
              <w:spacing w:before="40" w:after="40"/>
              <w:rPr>
                <w:rFonts w:hint="eastAsia" w:ascii="宋体" w:hAnsi="宋体"/>
                <w:b/>
                <w:color w:val="000000"/>
                <w:szCs w:val="21"/>
                <w:lang w:val="de-DE"/>
              </w:rPr>
            </w:pPr>
            <w:r>
              <w:rPr>
                <w:rFonts w:hint="eastAsia" w:ascii="宋体" w:hAnsi="宋体"/>
                <w:b/>
                <w:color w:val="000000"/>
                <w:szCs w:val="21"/>
                <w:lang w:val="de-DE"/>
              </w:rPr>
              <w:t>GB/T24001-2016</w:t>
            </w:r>
          </w:p>
          <w:p>
            <w:pPr>
              <w:spacing w:before="40" w:after="40"/>
              <w:rPr>
                <w:rFonts w:hint="eastAsia" w:ascii="宋体" w:hAnsi="宋体"/>
                <w:b/>
                <w:color w:val="000000"/>
                <w:szCs w:val="21"/>
                <w:lang w:val="de-DE" w:eastAsia="ja-JP"/>
              </w:rPr>
            </w:pPr>
            <w:r>
              <w:rPr>
                <w:rFonts w:hint="eastAsia" w:ascii="宋体" w:hAnsi="宋体"/>
                <w:b/>
                <w:color w:val="000000"/>
                <w:szCs w:val="21"/>
                <w:lang w:val="de-DE"/>
              </w:rPr>
              <w:t>ISO45001：2018</w:t>
            </w:r>
          </w:p>
        </w:tc>
        <w:tc>
          <w:tcPr>
            <w:tcW w:w="668" w:type="dxa"/>
            <w:shd w:val="clear" w:color="auto" w:fill="FFFFFF"/>
          </w:tcPr>
          <w:p>
            <w:pPr>
              <w:rPr>
                <w:rFonts w:eastAsia="黑体"/>
                <w:szCs w:val="21"/>
              </w:rPr>
            </w:pPr>
            <w:r>
              <w:rPr>
                <w:rFonts w:ascii="Wingdings" w:hAnsi="Wingdings"/>
                <w:color w:val="000000"/>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708" w:type="dxa"/>
            <w:vAlign w:val="center"/>
          </w:tcPr>
          <w:p>
            <w:pPr>
              <w:spacing w:before="40" w:after="40"/>
              <w:rPr>
                <w:rFonts w:eastAsia="黑体"/>
                <w:szCs w:val="21"/>
                <w:lang w:eastAsia="ja-JP"/>
              </w:rPr>
            </w:pPr>
          </w:p>
        </w:tc>
        <w:tc>
          <w:tcPr>
            <w:tcW w:w="76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708" w:type="dxa"/>
            <w:vAlign w:val="center"/>
          </w:tcPr>
          <w:p>
            <w:pPr>
              <w:spacing w:before="40" w:after="40"/>
              <w:rPr>
                <w:rFonts w:eastAsia="黑体"/>
                <w:szCs w:val="21"/>
                <w:lang w:eastAsia="ja-JP"/>
              </w:rPr>
            </w:pPr>
          </w:p>
        </w:tc>
        <w:tc>
          <w:tcPr>
            <w:tcW w:w="76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708" w:type="dxa"/>
            <w:vAlign w:val="center"/>
          </w:tcPr>
          <w:p>
            <w:pPr>
              <w:spacing w:before="40" w:after="40"/>
              <w:rPr>
                <w:rFonts w:eastAsia="黑体"/>
                <w:szCs w:val="21"/>
                <w:lang w:eastAsia="ja-JP"/>
              </w:rPr>
            </w:pPr>
          </w:p>
        </w:tc>
        <w:tc>
          <w:tcPr>
            <w:tcW w:w="76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708" w:type="dxa"/>
            <w:vAlign w:val="center"/>
          </w:tcPr>
          <w:p>
            <w:pPr>
              <w:spacing w:before="40" w:after="40"/>
              <w:rPr>
                <w:rFonts w:eastAsia="黑体"/>
                <w:szCs w:val="21"/>
                <w:lang w:eastAsia="ja-JP"/>
              </w:rPr>
            </w:pPr>
          </w:p>
        </w:tc>
        <w:tc>
          <w:tcPr>
            <w:tcW w:w="76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年6月20日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402"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2021-09-2</w:t>
            </w:r>
            <w:bookmarkEnd w:id="35"/>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rPr>
          <w:rFonts w:ascii="宋体" w:hAnsi="宋体"/>
          <w:b/>
          <w:color w:val="000000"/>
          <w:szCs w:val="21"/>
          <w:highlight w:val="cyan"/>
        </w:rPr>
      </w:pPr>
      <w:r>
        <w:rPr>
          <w:rFonts w:ascii="宋体" w:hAnsi="宋体"/>
          <w:b/>
          <w:color w:val="000000"/>
          <w:szCs w:val="21"/>
          <w:highlight w:val="cyan"/>
        </w:rPr>
        <w:br w:type="page"/>
      </w:r>
    </w:p>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4252595</wp:posOffset>
            </wp:positionH>
            <wp:positionV relativeFrom="paragraph">
              <wp:posOffset>236220</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6"/>
                    <a:stretch>
                      <a:fillRect/>
                    </a:stretch>
                  </pic:blipFill>
                  <pic:spPr>
                    <a:xfrm>
                      <a:off x="0" y="0"/>
                      <a:ext cx="615950" cy="511175"/>
                    </a:xfrm>
                    <a:prstGeom prst="rect">
                      <a:avLst/>
                    </a:prstGeom>
                  </pic:spPr>
                </pic:pic>
              </a:graphicData>
            </a:graphic>
          </wp:anchor>
        </w:drawing>
      </w: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5341620</wp:posOffset>
            </wp:positionH>
            <wp:positionV relativeFrom="paragraph">
              <wp:posOffset>123825</wp:posOffset>
            </wp:positionV>
            <wp:extent cx="375285" cy="792480"/>
            <wp:effectExtent l="0" t="0" r="7620" b="5715"/>
            <wp:wrapNone/>
            <wp:docPr id="10"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70a62583c0d9032e3c5101938293d0"/>
                    <pic:cNvPicPr>
                      <a:picLocks noChangeAspect="1"/>
                    </pic:cNvPicPr>
                  </pic:nvPicPr>
                  <pic:blipFill>
                    <a:blip r:embed="rId7"/>
                    <a:stretch>
                      <a:fillRect/>
                    </a:stretch>
                  </pic:blipFill>
                  <pic:spPr>
                    <a:xfrm rot="16200000">
                      <a:off x="0" y="0"/>
                      <a:ext cx="375285" cy="792480"/>
                    </a:xfrm>
                    <a:prstGeom prst="rect">
                      <a:avLst/>
                    </a:prstGeom>
                  </pic:spPr>
                </pic:pic>
              </a:graphicData>
            </a:graphic>
          </wp:anchor>
        </w:drawing>
      </w: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1875790</wp:posOffset>
            </wp:positionH>
            <wp:positionV relativeFrom="paragraph">
              <wp:posOffset>296545</wp:posOffset>
            </wp:positionV>
            <wp:extent cx="440690" cy="338455"/>
            <wp:effectExtent l="0" t="0" r="3810" b="444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8"/>
                    <a:stretch>
                      <a:fillRect/>
                    </a:stretch>
                  </pic:blipFill>
                  <pic:spPr>
                    <a:xfrm>
                      <a:off x="0" y="0"/>
                      <a:ext cx="440690" cy="3384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w:t>
      </w:r>
      <w:bookmarkStart w:id="36" w:name="_GoBack"/>
      <w:bookmarkEnd w:id="36"/>
      <w:r>
        <w:rPr>
          <w:rFonts w:hint="eastAsia" w:ascii="宋体" w:hAnsi="宋体"/>
          <w:b/>
          <w:color w:val="000000"/>
          <w:szCs w:val="21"/>
          <w:lang w:val="en-US" w:eastAsia="zh-CN"/>
        </w:rPr>
        <w:t>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659638F"/>
    <w:rsid w:val="0FEC7A29"/>
    <w:rsid w:val="19C564DE"/>
    <w:rsid w:val="2650714E"/>
    <w:rsid w:val="27EF35BD"/>
    <w:rsid w:val="287A224E"/>
    <w:rsid w:val="2C925C88"/>
    <w:rsid w:val="30656A52"/>
    <w:rsid w:val="41FB0782"/>
    <w:rsid w:val="475C25AE"/>
    <w:rsid w:val="54800CC8"/>
    <w:rsid w:val="55600AE8"/>
    <w:rsid w:val="56EC5EA8"/>
    <w:rsid w:val="775B6944"/>
    <w:rsid w:val="7B697B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2021-09-27T15:37:23Z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