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运城鑫工科技有限公司</w:t>
            </w:r>
            <w:bookmarkEnd w:id="7"/>
            <w:bookmarkStart w:id="9" w:name="_GoBack"/>
            <w:bookmarkEnd w:id="9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E：17.10.01;17.10.02;17.12.05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O：17.10.01;17.10.02;17.12.05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17.10.01;17.10.02;17.12.05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一般机械加工：生产计划-生产准备（人员、设备（包括工装）、产品图、工艺图、量具、原材料（毛坯及供方提供的粗加工件）-机械加工（一次加工）-过程检验-表面处理（打磨）-精加工-检验-包装/入库/交付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电力铁附件的加工：原材料-切割下料-冲床-折边-焊接-打磨-成品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固废物排放、噪声的排放、火灾的发生、废气的排放、废水的排放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建立</w:t>
            </w:r>
            <w:r>
              <w:rPr>
                <w:rFonts w:hint="eastAsia"/>
                <w:b/>
                <w:sz w:val="20"/>
              </w:rPr>
              <w:t>《废气、废水、固体废弃物控制程序》、《环境管理方案》、《噪声控制程序》、《应急准备和响应预案》</w:t>
            </w:r>
            <w:r>
              <w:rPr>
                <w:rFonts w:hint="eastAsia"/>
                <w:b/>
                <w:sz w:val="20"/>
                <w:lang w:val="en-US" w:eastAsia="zh-CN"/>
              </w:rPr>
              <w:t>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意外触电、机械伤害、火灾、爆炸发生、物体打击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建立</w:t>
            </w:r>
            <w:r>
              <w:rPr>
                <w:rFonts w:hint="eastAsia"/>
                <w:b/>
                <w:sz w:val="20"/>
              </w:rPr>
              <w:t>《职业健康安全管理方案》、《应急预案和响应措施》</w:t>
            </w:r>
            <w:r>
              <w:rPr>
                <w:rFonts w:hint="eastAsia"/>
                <w:b/>
                <w:sz w:val="20"/>
                <w:lang w:val="en-US" w:eastAsia="zh-CN"/>
              </w:rPr>
              <w:t>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、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特种设备安全法、中华人民共和国劳动法、中华人民共和国妇女权益保障法、电气安全管理规程、女职工劳动保护特别规定、特种设备安全检察条例、火灾事故调查规定、消防监督检查规定、工伤保险条例、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5B2E51"/>
    <w:rsid w:val="301A3931"/>
    <w:rsid w:val="38D92AB1"/>
    <w:rsid w:val="40260DFF"/>
    <w:rsid w:val="48207130"/>
    <w:rsid w:val="5F700B30"/>
    <w:rsid w:val="6E6B4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2021-09-24T09:31:14Z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