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0946-2021-EnMs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诺伟家具制造（廊坊）有限公司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2"/>
      </w:pPr>
    </w:p>
    <w:p>
      <w:pPr>
        <w:pStyle w:val="12"/>
      </w:pPr>
    </w:p>
    <w:p>
      <w:pPr>
        <w:pStyle w:val="12"/>
      </w:pPr>
    </w:p>
    <w:p>
      <w:pPr>
        <w:pStyle w:val="1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诺伟家具制造（廊坊）有限公司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河北省廊坊市永清县别古庄镇王希村村南</w:t>
            </w:r>
            <w:bookmarkEnd w:id="6"/>
          </w:p>
        </w:tc>
        <w:tc>
          <w:tcPr>
            <w:tcW w:w="1242" w:type="dxa"/>
            <w:vMerge w:val="restart"/>
            <w:vAlign w:val="center"/>
          </w:tcPr>
          <w:p>
            <w:r>
              <w:rPr>
                <w:rFonts w:hint="eastAsia"/>
              </w:rPr>
              <w:t>邮编</w:t>
            </w:r>
          </w:p>
        </w:tc>
        <w:tc>
          <w:tcPr>
            <w:tcW w:w="1771" w:type="dxa"/>
          </w:tcPr>
          <w:p>
            <w:bookmarkStart w:id="7" w:name="注册邮编"/>
            <w:r>
              <w:t>065600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河北省廊坊市永清县别古庄镇王希村村南</w:t>
            </w:r>
            <w:bookmarkEnd w:id="8"/>
          </w:p>
        </w:tc>
        <w:tc>
          <w:tcPr>
            <w:tcW w:w="1242" w:type="dxa"/>
            <w:vMerge w:val="continue"/>
            <w:vAlign w:val="center"/>
          </w:tcPr>
          <w:p/>
        </w:tc>
        <w:tc>
          <w:tcPr>
            <w:tcW w:w="1771" w:type="dxa"/>
          </w:tcPr>
          <w:p>
            <w:bookmarkStart w:id="9" w:name="办公邮编"/>
            <w:r>
              <w:t>065600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刘丽婷</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刘丽婷</w:t>
            </w:r>
            <w:bookmarkEnd w:id="13"/>
          </w:p>
        </w:tc>
        <w:tc>
          <w:tcPr>
            <w:tcW w:w="1313" w:type="dxa"/>
            <w:vAlign w:val="center"/>
          </w:tcPr>
          <w:p>
            <w:r>
              <w:rPr>
                <w:rFonts w:hint="eastAsia"/>
              </w:rPr>
              <w:t>管理者代表</w:t>
            </w:r>
          </w:p>
        </w:tc>
        <w:tc>
          <w:tcPr>
            <w:tcW w:w="2180" w:type="dxa"/>
          </w:tcPr>
          <w:p>
            <w:bookmarkStart w:id="14" w:name="管理者代表"/>
            <w:r>
              <w:t>刘琦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eastAsia="宋体"/>
                <w:b/>
                <w:sz w:val="20"/>
                <w:lang w:eastAsia="zh-CN"/>
              </w:rPr>
              <w:drawing>
                <wp:inline distT="0" distB="0" distL="114300" distR="114300">
                  <wp:extent cx="5205730" cy="1409065"/>
                  <wp:effectExtent l="0" t="0" r="1270" b="635"/>
                  <wp:docPr id="1" name="图片 1" descr="1969109dae1d9b71b197e46a0ffd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69109dae1d9b71b197e46a0ffd029"/>
                          <pic:cNvPicPr>
                            <a:picLocks noChangeAspect="1"/>
                          </pic:cNvPicPr>
                        </pic:nvPicPr>
                        <pic:blipFill>
                          <a:blip r:embed="rId6"/>
                          <a:stretch>
                            <a:fillRect/>
                          </a:stretch>
                        </pic:blipFill>
                        <pic:spPr>
                          <a:xfrm>
                            <a:off x="0" y="0"/>
                            <a:ext cx="5205730" cy="1409065"/>
                          </a:xfrm>
                          <a:prstGeom prst="rect">
                            <a:avLst/>
                          </a:prstGeom>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2021年09月23日 下午至2021年09月25日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6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pPr>
              <w:rPr>
                <w:rFonts w:hint="eastAsia" w:ascii="Times New Roman" w:hAnsi="Times New Roman" w:eastAsia="宋体" w:cs="Times New Roman"/>
              </w:rPr>
            </w:pPr>
            <w:r>
              <w:rPr>
                <w:rFonts w:hint="eastAsia"/>
                <w:lang w:val="de-DE" w:eastAsia="zh-CN"/>
              </w:rPr>
              <w:t>☑</w:t>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https://www.so.com/link?m=bw4BMcsCqdaoQrfXFtJIr1CzMaeR7WIAX/k3xIp1QLpKr02aXdoS/siU4vpYJwljg7dPhHurYSJmTW6Q3ZVhdVhaXPicNDC0uwWar5kl5WljWJo8KqCWOAR40aYEp9AhiMAiRM4Eu71f29NcPt0BUdOpyGaLPK2ZkG1wZYBsHlRJumQ7w9h4QhCDqFTmAY8Ei5kirlNN+FpYkdL5vZuV3jUl/AX5e4QtTPwkqkNjXgtzWxTy29SdCKbtEXbAAj3cidWkIyuZ44cRfPzGUfMuARpdL7GozNu35YxXzYV0KZ2qcrCkSo9grNs4bQBxM8WE0KTRuvlHIIFT2SiUcAZXJkekWbigHj1CkrEAtNYtRlJKMSC9yZPNpeTdYtBtN46Fb" \t "https://www.so.com/_blank"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RB</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T 109-2013 能源管理体系</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人造板及木制品企业认证要求</w:t>
            </w:r>
            <w:r>
              <w:rPr>
                <w:rFonts w:hint="default" w:ascii="Times New Roman" w:hAnsi="Times New Roman" w:eastAsia="宋体" w:cs="Times New Roman"/>
                <w:lang w:val="en-US" w:eastAsia="zh-CN"/>
              </w:rPr>
              <w:fldChar w:fldCharType="end"/>
            </w:r>
            <w:r>
              <w:rPr>
                <w:rFonts w:hint="eastAsia" w:ascii="Times New Roman" w:hAnsi="Times New Roman" w:eastAsia="宋体" w:cs="Times New Roman"/>
              </w:rPr>
              <w:t>能源管理体系标准要求</w:t>
            </w:r>
            <w:r>
              <w:rPr>
                <w:rFonts w:hint="eastAsia" w:ascii="Times New Roman" w:hAnsi="Times New Roman" w:eastAsia="宋体" w:cs="Times New Roman"/>
                <w:lang w:eastAsia="zh-CN"/>
              </w:rPr>
              <w:t>；</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河北省廊坊市永清县别古庄镇王希村村南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木家具、家具（限水性漆工艺、红木家具）的设计、生产和销售所涉及的能源管理活动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center"/>
            </w:pPr>
            <w:r>
              <w:rPr>
                <w:rFonts w:hint="eastAsia"/>
                <w:lang w:val="en-US" w:eastAsia="zh-CN"/>
              </w:rPr>
              <w:t>2021</w:t>
            </w:r>
            <w:r>
              <w:rPr>
                <w:rFonts w:hint="eastAsia"/>
              </w:rPr>
              <w:t>年</w:t>
            </w:r>
            <w:r>
              <w:rPr>
                <w:rFonts w:hint="eastAsia"/>
                <w:lang w:val="en-US" w:eastAsia="zh-CN"/>
              </w:rPr>
              <w:t>2</w:t>
            </w:r>
            <w:r>
              <w:rPr>
                <w:rFonts w:hint="eastAsia"/>
              </w:rPr>
              <w:t xml:space="preserve">月 </w:t>
            </w:r>
            <w:r>
              <w:rPr>
                <w:rFonts w:hint="eastAsia"/>
                <w:lang w:val="en-US" w:eastAsia="zh-CN"/>
              </w:rPr>
              <w:t>6</w:t>
            </w:r>
            <w:r>
              <w:rPr>
                <w:rFonts w:hint="eastAsia"/>
              </w:rPr>
              <w:t>日</w:t>
            </w:r>
          </w:p>
          <w:p>
            <w:pPr>
              <w:jc w:val="center"/>
            </w:pPr>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sz w:val="21"/>
                <w:szCs w:val="21"/>
                <w:lang w:eastAsia="zh-CN"/>
              </w:rPr>
            </w:pPr>
            <w:r>
              <w:rPr>
                <w:rFonts w:eastAsia="黑体" w:cs="Arial"/>
                <w:sz w:val="21"/>
                <w:szCs w:val="21"/>
                <w:lang w:eastAsia="zh-CN"/>
              </w:rPr>
              <w:t>场所编号</w:t>
            </w:r>
          </w:p>
          <w:p>
            <w:pPr>
              <w:pStyle w:val="20"/>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val="0"/>
                <w:bCs/>
                <w:color w:val="000000"/>
                <w:szCs w:val="21"/>
              </w:rPr>
              <w:t>诺伟家具制造（廊坊）有限公司</w:t>
            </w:r>
            <w:r>
              <w:rPr>
                <w:rFonts w:hint="eastAsia" w:ascii="宋体"/>
                <w:b w:val="0"/>
                <w:bCs/>
                <w:color w:val="000000"/>
                <w:szCs w:val="21"/>
                <w:lang w:val="en-US" w:eastAsia="zh-CN"/>
              </w:rPr>
              <w:t>/</w:t>
            </w:r>
            <w:r>
              <w:rPr>
                <w:rFonts w:ascii="宋体"/>
                <w:b w:val="0"/>
                <w:bCs/>
                <w:color w:val="000000"/>
                <w:szCs w:val="21"/>
              </w:rPr>
              <w:t>河北省廊坊市永清县别古庄镇王希村村南</w:t>
            </w:r>
          </w:p>
        </w:tc>
        <w:tc>
          <w:tcPr>
            <w:tcW w:w="2267" w:type="dxa"/>
          </w:tcPr>
          <w:p>
            <w:pPr>
              <w:spacing w:before="40" w:after="40"/>
              <w:rPr>
                <w:rFonts w:eastAsia="黑体"/>
                <w:szCs w:val="21"/>
                <w:lang w:val="de-DE" w:eastAsia="ja-JP"/>
              </w:rPr>
            </w:pPr>
            <w:r>
              <w:rPr>
                <w:rFonts w:ascii="宋体"/>
                <w:b w:val="0"/>
                <w:bCs/>
                <w:color w:val="000000"/>
                <w:szCs w:val="21"/>
              </w:rPr>
              <w:t>河北省廊坊市永清县别古庄镇王希村村南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21"/>
              <w:rPr>
                <w:rFonts w:eastAsia="黑体" w:cs="Arial"/>
                <w:sz w:val="21"/>
                <w:szCs w:val="21"/>
                <w:lang w:val="en-US" w:eastAsia="ja-JP"/>
              </w:rPr>
            </w:pPr>
            <w:r>
              <w:t>木家具、家具（限水性漆工艺、红木家具）的设计、生产和销售所涉及的能源管理活动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李晨光</w:t>
            </w:r>
          </w:p>
        </w:tc>
        <w:tc>
          <w:tcPr>
            <w:tcW w:w="1089" w:type="dxa"/>
            <w:vAlign w:val="center"/>
          </w:tcPr>
          <w:p>
            <w:r>
              <w:t>组员</w:t>
            </w:r>
          </w:p>
        </w:tc>
        <w:tc>
          <w:tcPr>
            <w:tcW w:w="711" w:type="dxa"/>
            <w:vAlign w:val="center"/>
          </w:tcPr>
          <w:p>
            <w:r>
              <w:t>男</w:t>
            </w:r>
          </w:p>
        </w:tc>
        <w:tc>
          <w:tcPr>
            <w:tcW w:w="3870" w:type="dxa"/>
            <w:vAlign w:val="center"/>
          </w:tcPr>
          <w:p>
            <w:r>
              <w:t>ISC-JSZJ-386</w:t>
            </w:r>
          </w:p>
          <w:p>
            <w:r>
              <w:t>廊坊科艺尚品家具有限公司</w:t>
            </w:r>
          </w:p>
        </w:tc>
        <w:tc>
          <w:tcPr>
            <w:tcW w:w="2179" w:type="dxa"/>
            <w:vAlign w:val="center"/>
          </w:tcPr>
          <w:p>
            <w:r>
              <w:t>2.10</w:t>
            </w: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r>
              <w:t>木家具、家具（限水性漆工艺、红木家具）的设计、生产和销售所涉及的能源管理活动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rPr>
              <w:drawing>
                <wp:anchor distT="0" distB="0" distL="114300" distR="114300" simplePos="0" relativeHeight="251661312" behindDoc="0" locked="0" layoutInCell="1" allowOverlap="1">
                  <wp:simplePos x="0" y="0"/>
                  <wp:positionH relativeFrom="column">
                    <wp:posOffset>701040</wp:posOffset>
                  </wp:positionH>
                  <wp:positionV relativeFrom="page">
                    <wp:posOffset>5203190</wp:posOffset>
                  </wp:positionV>
                  <wp:extent cx="570230" cy="435610"/>
                  <wp:effectExtent l="0" t="0" r="1270" b="889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7">
                            <a:lum bright="35999"/>
                          </a:blip>
                          <a:stretch>
                            <a:fillRect/>
                          </a:stretch>
                        </pic:blipFill>
                        <pic:spPr>
                          <a:xfrm>
                            <a:off x="0" y="0"/>
                            <a:ext cx="570230" cy="4356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办公室</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w:t>
            </w:r>
            <w:r>
              <w:rPr>
                <w:rFonts w:hint="eastAsia"/>
                <w:highlight w:val="none"/>
                <w:lang w:eastAsia="zh-CN"/>
              </w:rPr>
              <w:t>☑</w:t>
            </w:r>
            <w:r>
              <w:rPr>
                <w:rFonts w:hint="eastAsia"/>
                <w:highlight w:val="none"/>
              </w:rPr>
              <w:t xml:space="preserve">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729"/>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shd w:val="clear" w:color="auto" w:fill="EBF1DE" w:themeFill="accent3" w:themeFillTint="32"/>
                    <w:rPr>
                      <w:rFonts w:hint="eastAsia" w:eastAsia="宋体"/>
                      <w:highlight w:val="none"/>
                    </w:rPr>
                  </w:pPr>
                  <w:r>
                    <w:rPr>
                      <w:rFonts w:hint="eastAsia" w:eastAsia="宋体"/>
                      <w:highlight w:val="none"/>
                    </w:rPr>
                    <w:t>节能目标</w:t>
                  </w:r>
                </w:p>
              </w:tc>
              <w:tc>
                <w:tcPr>
                  <w:tcW w:w="2729" w:type="dxa"/>
                  <w:shd w:val="clear" w:color="auto" w:fill="auto"/>
                </w:tcPr>
                <w:p>
                  <w:pPr>
                    <w:shd w:val="clear" w:color="auto" w:fill="EBF1DE" w:themeFill="accent3" w:themeFillTint="32"/>
                    <w:rPr>
                      <w:rFonts w:hint="eastAsia" w:eastAsia="宋体"/>
                      <w:highlight w:val="none"/>
                    </w:rPr>
                  </w:pPr>
                  <w:r>
                    <w:rPr>
                      <w:rFonts w:hint="eastAsia" w:eastAsia="宋体"/>
                      <w:highlight w:val="none"/>
                    </w:rPr>
                    <w:t>控制措施</w:t>
                  </w:r>
                </w:p>
              </w:tc>
              <w:tc>
                <w:tcPr>
                  <w:tcW w:w="1759" w:type="dxa"/>
                  <w:shd w:val="clear" w:color="auto" w:fill="auto"/>
                </w:tcPr>
                <w:p>
                  <w:pPr>
                    <w:shd w:val="clear" w:color="auto" w:fill="EBF1DE" w:themeFill="accent3" w:themeFillTint="32"/>
                    <w:rPr>
                      <w:rFonts w:hint="eastAsia" w:eastAsia="宋体"/>
                      <w:highlight w:val="none"/>
                    </w:rPr>
                  </w:pPr>
                  <w:r>
                    <w:rPr>
                      <w:rFonts w:hint="eastAsia" w:eastAsia="宋体"/>
                      <w:highlight w:val="none"/>
                    </w:rPr>
                    <w:t>责任部门</w:t>
                  </w:r>
                </w:p>
              </w:tc>
              <w:tc>
                <w:tcPr>
                  <w:tcW w:w="1649" w:type="dxa"/>
                  <w:shd w:val="clear" w:color="auto" w:fill="auto"/>
                </w:tcPr>
                <w:p>
                  <w:pPr>
                    <w:shd w:val="clear" w:color="auto" w:fill="EBF1DE" w:themeFill="accent3" w:themeFillTint="32"/>
                    <w:rPr>
                      <w:rFonts w:hint="eastAsia" w:eastAsia="宋体"/>
                      <w:highlight w:val="none"/>
                    </w:rPr>
                  </w:pPr>
                  <w:r>
                    <w:rPr>
                      <w:rFonts w:hint="eastAsia" w:eastAsia="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4" w:type="dxa"/>
                  <w:shd w:val="clear" w:color="auto" w:fill="auto"/>
                </w:tcPr>
                <w:p>
                  <w:pPr>
                    <w:shd w:val="clear" w:color="auto" w:fill="EBF1DE" w:themeFill="accent3" w:themeFillTint="32"/>
                    <w:rPr>
                      <w:rFonts w:hint="eastAsia" w:eastAsia="宋体"/>
                      <w:highlight w:val="none"/>
                    </w:rPr>
                  </w:pPr>
                  <w:r>
                    <w:rPr>
                      <w:rFonts w:hint="eastAsia" w:eastAsia="宋体"/>
                      <w:highlight w:val="none"/>
                      <w:lang w:val="en-US" w:eastAsia="zh-CN"/>
                    </w:rPr>
                    <w:t>6.16kgce/</w:t>
                  </w:r>
                  <w:r>
                    <w:rPr>
                      <w:rFonts w:hint="default" w:eastAsia="宋体"/>
                      <w:highlight w:val="none"/>
                      <w:lang w:val="en-US" w:eastAsia="zh-CN"/>
                    </w:rPr>
                    <w:t>万</w:t>
                  </w:r>
                  <w:r>
                    <w:rPr>
                      <w:rFonts w:hint="eastAsia" w:eastAsia="宋体"/>
                      <w:highlight w:val="none"/>
                      <w:lang w:val="en-US" w:eastAsia="zh-CN"/>
                    </w:rPr>
                    <w:t>元</w:t>
                  </w:r>
                </w:p>
              </w:tc>
              <w:tc>
                <w:tcPr>
                  <w:tcW w:w="272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eastAsia="宋体"/>
                      <w:highlight w:val="none"/>
                      <w:lang w:val="en-US" w:eastAsia="zh-CN"/>
                    </w:rPr>
                    <w:t>1加强能源使用管理；2正常生产，避免无故停机；3、加强操作员工的熟练程度。</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eastAsia="宋体"/>
                      <w:highlight w:val="none"/>
                      <w:lang w:val="en-US" w:eastAsia="zh-CN"/>
                    </w:rPr>
                    <w:t>生产部/办公室</w:t>
                  </w:r>
                </w:p>
              </w:tc>
              <w:tc>
                <w:tcPr>
                  <w:tcW w:w="1649" w:type="dxa"/>
                  <w:shd w:val="clear" w:color="auto" w:fill="auto"/>
                  <w:vAlign w:val="center"/>
                </w:tcPr>
                <w:p>
                  <w:pPr>
                    <w:shd w:val="clear" w:color="auto" w:fill="EBF1DE" w:themeFill="accent3" w:themeFillTint="32"/>
                    <w:rPr>
                      <w:rFonts w:hint="eastAsia" w:eastAsia="宋体"/>
                      <w:highlight w:val="none"/>
                      <w:lang w:val="en-US" w:eastAsia="zh-CN"/>
                    </w:rPr>
                  </w:pPr>
                  <w:r>
                    <w:rPr>
                      <w:rFonts w:hint="eastAsia" w:eastAsia="宋体"/>
                      <w:highlight w:val="none"/>
                      <w:lang w:val="en-US" w:eastAsia="zh-CN"/>
                    </w:rPr>
                    <w:t>5.52kgce/</w:t>
                  </w:r>
                  <w:r>
                    <w:rPr>
                      <w:rFonts w:hint="default" w:eastAsia="宋体"/>
                      <w:highlight w:val="none"/>
                      <w:lang w:val="en-US" w:eastAsia="zh-CN"/>
                    </w:rPr>
                    <w:t>万</w:t>
                  </w:r>
                  <w:r>
                    <w:rPr>
                      <w:rFonts w:hint="eastAsia" w:eastAsia="宋体"/>
                      <w:highlight w:val="none"/>
                      <w:lang w:val="en-US" w:eastAsia="zh-CN"/>
                    </w:rPr>
                    <w:t>元（完成）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建筑面积</w:t>
            </w:r>
            <w:r>
              <w:rPr>
                <w:rFonts w:hint="eastAsia"/>
                <w:highlight w:val="none"/>
                <w:lang w:eastAsia="zh-CN"/>
              </w:rPr>
              <w:t>：</w:t>
            </w:r>
            <w:r>
              <w:rPr>
                <w:rFonts w:hint="eastAsia"/>
                <w:color w:val="000000"/>
                <w:szCs w:val="18"/>
                <w:lang w:val="en-US" w:eastAsia="zh-CN"/>
              </w:rPr>
              <w:t>18666.67</w:t>
            </w:r>
            <w:r>
              <w:rPr>
                <w:rFonts w:hint="eastAsia"/>
                <w:highlight w:val="none"/>
                <w:lang w:val="en-US" w:eastAsia="zh-CN"/>
              </w:rPr>
              <w:t>㎡</w:t>
            </w:r>
            <w:r>
              <w:rPr>
                <w:rFonts w:hint="eastAsia"/>
                <w:highlight w:val="none"/>
              </w:rPr>
              <w:t xml:space="preserve">；生产车间 </w:t>
            </w:r>
            <w:r>
              <w:rPr>
                <w:rFonts w:hint="eastAsia"/>
                <w:highlight w:val="none"/>
                <w:lang w:val="en-US" w:eastAsia="zh-CN"/>
              </w:rPr>
              <w:t>4</w:t>
            </w:r>
            <w:r>
              <w:rPr>
                <w:rFonts w:hint="eastAsia"/>
                <w:highlight w:val="none"/>
              </w:rPr>
              <w:t>个；库房</w:t>
            </w:r>
            <w:r>
              <w:rPr>
                <w:rFonts w:hint="eastAsia"/>
                <w:highlight w:val="none"/>
                <w:lang w:val="en-US" w:eastAsia="zh-CN"/>
              </w:rPr>
              <w:t>4</w:t>
            </w:r>
            <w:r>
              <w:rPr>
                <w:rFonts w:hint="eastAsia"/>
                <w:highlight w:val="none"/>
              </w:rPr>
              <w:t>个；实验室</w:t>
            </w:r>
            <w:r>
              <w:rPr>
                <w:rFonts w:hint="eastAsia"/>
                <w:highlight w:val="none"/>
                <w:lang w:val="en-US" w:eastAsia="zh-CN"/>
              </w:rPr>
              <w:t>0</w:t>
            </w:r>
            <w:r>
              <w:rPr>
                <w:rFonts w:hint="eastAsia"/>
                <w:highlight w:val="none"/>
              </w:rPr>
              <w:t>个；</w:t>
            </w:r>
          </w:p>
          <w:p>
            <w:pPr>
              <w:shd w:val="clear" w:color="auto" w:fill="EBF1DE" w:themeFill="accent3" w:themeFillTint="32"/>
              <w:rPr>
                <w:rFonts w:hint="eastAsia"/>
                <w:highlight w:val="none"/>
              </w:rPr>
            </w:pPr>
            <w:r>
              <w:rPr>
                <w:rFonts w:hint="eastAsia"/>
                <w:highlight w:val="none"/>
              </w:rPr>
              <w:t>主要生产设备有：</w:t>
            </w:r>
            <w:r>
              <w:rPr>
                <w:rFonts w:hint="eastAsia"/>
                <w:highlight w:val="none"/>
                <w:lang w:val="en-US" w:eastAsia="zh-CN"/>
              </w:rPr>
              <w:t>冲压折弯机、电焊机、切割机、包边机、开孔机</w:t>
            </w:r>
            <w:r>
              <w:rPr>
                <w:rFonts w:hint="eastAsia"/>
                <w:highlight w:val="none"/>
              </w:rPr>
              <w:t xml:space="preserve"> （列举2~4种）</w:t>
            </w:r>
          </w:p>
          <w:p>
            <w:pPr>
              <w:shd w:val="clear" w:color="auto" w:fill="EBF1DE" w:themeFill="accent3" w:themeFillTint="32"/>
              <w:rPr>
                <w:rFonts w:hint="eastAsia"/>
                <w:highlight w:val="none"/>
              </w:rPr>
            </w:pPr>
            <w:r>
              <w:rPr>
                <w:rFonts w:hint="eastAsia"/>
                <w:highlight w:val="none"/>
              </w:rPr>
              <w:t>主要耗能设备有：</w:t>
            </w:r>
            <w:r>
              <w:rPr>
                <w:rFonts w:hint="eastAsia"/>
                <w:highlight w:val="none"/>
                <w:lang w:val="en-US" w:eastAsia="zh-CN"/>
              </w:rPr>
              <w:t>冲压折弯机、电焊机、切割机、包边机、开孔机</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计量器具的测量溯源方法：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rFonts w:hint="eastAsia"/>
                <w:highlight w:val="none"/>
              </w:rPr>
            </w:pPr>
            <w:r>
              <w:rPr>
                <w:rFonts w:hint="eastAsia"/>
                <w:highlight w:val="none"/>
              </w:rPr>
              <w:t xml:space="preserve">能源计量器具有： </w:t>
            </w:r>
            <w:r>
              <w:rPr>
                <w:rFonts w:hint="eastAsia"/>
                <w:highlight w:val="none"/>
                <w:lang w:val="en-US" w:eastAsia="zh-CN"/>
              </w:rPr>
              <w:t>天然气流量计、电力表</w:t>
            </w:r>
            <w:r>
              <w:rPr>
                <w:rFonts w:hint="eastAsia"/>
                <w:highlight w:val="none"/>
              </w:rPr>
              <w:t xml:space="preserve">    （列举1~4种）</w:t>
            </w:r>
          </w:p>
          <w:p>
            <w:pPr>
              <w:shd w:val="clear" w:color="auto" w:fill="EBF1DE" w:themeFill="accent3" w:themeFillTint="32"/>
              <w:rPr>
                <w:rFonts w:hint="eastAsia"/>
                <w:highlight w:val="non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lang w:val="en-US" w:eastAsia="zh-CN"/>
              </w:rPr>
              <w:t>电量表由国家电网和嘉兴天逸新能源有限公司负责。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lang w:val="en-US" w:eastAsia="zh-CN"/>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A8"/>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其他</w:t>
                  </w:r>
                </w:p>
              </w:tc>
              <w:tc>
                <w:tcPr>
                  <w:tcW w:w="3665" w:type="dxa"/>
                </w:tcPr>
                <w:p>
                  <w:pPr>
                    <w:shd w:val="clear" w:color="auto" w:fill="EBF1DE" w:themeFill="accent3" w:themeFillTint="32"/>
                    <w:rPr>
                      <w:rFonts w:hint="eastAsia"/>
                      <w:highlight w:val="none"/>
                    </w:rPr>
                  </w:pPr>
                </w:p>
              </w:tc>
              <w:tc>
                <w:tcPr>
                  <w:tcW w:w="3265" w:type="dxa"/>
                </w:tcPr>
                <w:p>
                  <w:pPr>
                    <w:shd w:val="clear" w:color="auto" w:fill="EBF1DE" w:themeFill="accent3" w:themeFillTint="32"/>
                    <w:rPr>
                      <w:rFonts w:hint="eastAsia"/>
                      <w:highlight w:val="none"/>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定期（每年） ： </w:t>
            </w:r>
            <w:r>
              <w:rPr>
                <w:rFonts w:hint="eastAsia"/>
                <w:highlight w:val="none"/>
                <w:lang w:val="en-US" w:eastAsia="zh-CN"/>
              </w:rPr>
              <w:t>2021</w:t>
            </w:r>
            <w:r>
              <w:rPr>
                <w:rFonts w:hint="eastAsia"/>
                <w:highlight w:val="none"/>
              </w:rPr>
              <w:t xml:space="preserve">年 </w:t>
            </w:r>
            <w:r>
              <w:rPr>
                <w:rFonts w:hint="eastAsia"/>
                <w:highlight w:val="none"/>
                <w:lang w:val="en-US" w:eastAsia="zh-CN"/>
              </w:rPr>
              <w:t>3</w:t>
            </w:r>
            <w:r>
              <w:rPr>
                <w:rFonts w:hint="eastAsia"/>
                <w:highlight w:val="none"/>
              </w:rPr>
              <w:t xml:space="preserve"> 月 </w:t>
            </w:r>
            <w:r>
              <w:rPr>
                <w:rFonts w:hint="eastAsia"/>
                <w:highlight w:val="none"/>
                <w:lang w:val="en-US" w:eastAsia="zh-CN"/>
              </w:rPr>
              <w:t>10</w:t>
            </w:r>
            <w:r>
              <w:rPr>
                <w:rFonts w:hint="eastAsia"/>
                <w:highlight w:val="none"/>
              </w:rPr>
              <w:t xml:space="preserve"> 日</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 xml:space="preserve">通过年度策划于  </w:t>
            </w:r>
            <w:r>
              <w:rPr>
                <w:rFonts w:hint="eastAsia"/>
                <w:highlight w:val="none"/>
                <w:lang w:val="en-US" w:eastAsia="zh-CN"/>
              </w:rPr>
              <w:t>2021</w:t>
            </w:r>
            <w:r>
              <w:rPr>
                <w:rFonts w:hint="eastAsia"/>
                <w:highlight w:val="none"/>
              </w:rPr>
              <w:t xml:space="preserve">  年</w:t>
            </w:r>
            <w:r>
              <w:rPr>
                <w:rFonts w:hint="eastAsia"/>
                <w:highlight w:val="none"/>
                <w:lang w:val="en-US" w:eastAsia="zh-CN"/>
              </w:rPr>
              <w:t>8</w:t>
            </w:r>
            <w:r>
              <w:rPr>
                <w:rFonts w:hint="eastAsia"/>
                <w:highlight w:val="none"/>
              </w:rPr>
              <w:t xml:space="preserve"> 月 </w:t>
            </w:r>
            <w:r>
              <w:rPr>
                <w:rFonts w:hint="eastAsia"/>
                <w:highlight w:val="none"/>
                <w:lang w:val="en-US" w:eastAsia="zh-CN"/>
              </w:rPr>
              <w:t>20-21</w:t>
            </w:r>
            <w:r>
              <w:rPr>
                <w:rFonts w:hint="eastAsia"/>
                <w:highlight w:val="none"/>
              </w:rPr>
              <w:t xml:space="preserve">  日实施了能源管理体系内部审核，对能源管理体系的符合性和有效性进行了审核。内审发现的 </w:t>
            </w:r>
            <w:r>
              <w:rPr>
                <w:rFonts w:hint="eastAsia"/>
                <w:highlight w:val="none"/>
                <w:lang w:val="en-US" w:eastAsia="zh-CN"/>
              </w:rPr>
              <w:t>0</w:t>
            </w:r>
            <w:r>
              <w:rPr>
                <w:rFonts w:hint="eastAsia"/>
                <w:highlight w:val="none"/>
              </w:rPr>
              <w:t xml:space="preserve"> 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bookmarkStart w:id="34" w:name="_GoBack"/>
            <w:bookmarkEnd w:id="34"/>
            <w:r>
              <w:rPr>
                <w:rFonts w:hint="eastAsia"/>
                <w:highlight w:val="none"/>
              </w:rPr>
              <w:sym w:font="Wingdings" w:char="00A8"/>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最高管理者已按策划的时间间隔，在  </w:t>
            </w:r>
            <w:r>
              <w:rPr>
                <w:rFonts w:hint="eastAsia"/>
                <w:highlight w:val="none"/>
                <w:lang w:val="en-US" w:eastAsia="zh-CN"/>
              </w:rPr>
              <w:t>2021</w:t>
            </w:r>
            <w:r>
              <w:rPr>
                <w:rFonts w:hint="eastAsia"/>
                <w:highlight w:val="none"/>
              </w:rPr>
              <w:t xml:space="preserve">  年 </w:t>
            </w:r>
            <w:r>
              <w:rPr>
                <w:rFonts w:hint="eastAsia"/>
                <w:highlight w:val="none"/>
                <w:lang w:val="en-US" w:eastAsia="zh-CN"/>
              </w:rPr>
              <w:t>8</w:t>
            </w:r>
            <w:r>
              <w:rPr>
                <w:rFonts w:hint="eastAsia"/>
                <w:highlight w:val="none"/>
              </w:rPr>
              <w:t xml:space="preserve"> 月</w:t>
            </w:r>
            <w:r>
              <w:rPr>
                <w:rFonts w:hint="eastAsia"/>
                <w:highlight w:val="none"/>
                <w:lang w:val="en-US" w:eastAsia="zh-CN"/>
              </w:rPr>
              <w:t>30</w:t>
            </w:r>
            <w:r>
              <w:rPr>
                <w:rFonts w:hint="eastAsia"/>
                <w:highlight w:val="none"/>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9D2BB7"/>
    <w:rsid w:val="0FD438BD"/>
    <w:rsid w:val="52196638"/>
    <w:rsid w:val="56F90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2</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2021-09-30T12:25:23Z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