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hint="eastAsia"/>
          <w:szCs w:val="21"/>
          <w:u w:val="single"/>
        </w:rPr>
        <w:t>0068-2017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21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06"/>
        <w:gridCol w:w="1441"/>
        <w:gridCol w:w="992"/>
        <w:gridCol w:w="1797"/>
        <w:gridCol w:w="46"/>
        <w:gridCol w:w="1134"/>
        <w:gridCol w:w="113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9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吴江变压器有限公司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变压器变比测量</w:t>
            </w:r>
          </w:p>
        </w:tc>
        <w:tc>
          <w:tcPr>
            <w:tcW w:w="1106" w:type="dxa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701813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HZST70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变压比电桥检定装置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0.01级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苏州电器科学研究院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直流电阻测试仪</w:t>
            </w:r>
          </w:p>
        </w:tc>
        <w:tc>
          <w:tcPr>
            <w:tcW w:w="110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20200803005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HZST3005S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模拟大功率交</w:t>
            </w:r>
            <w:r>
              <w:rPr>
                <w:rFonts w:hint="eastAsia"/>
                <w:sz w:val="18"/>
                <w:szCs w:val="18"/>
              </w:rPr>
              <w:t>直流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标准</w:t>
            </w:r>
            <w:r>
              <w:rPr>
                <w:rFonts w:hint="eastAsia"/>
                <w:sz w:val="18"/>
                <w:szCs w:val="18"/>
              </w:rPr>
              <w:t>电阻器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0.01级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苏州电器科学研究院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工频高压控制台</w:t>
            </w:r>
          </w:p>
        </w:tc>
        <w:tc>
          <w:tcPr>
            <w:tcW w:w="1106" w:type="dxa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EU-11-01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HY-AC20型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±3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标准交直流分压器0.1级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苏州电器科学研究院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多通道数字式局部放电综合分析仪</w:t>
            </w:r>
          </w:p>
        </w:tc>
        <w:tc>
          <w:tcPr>
            <w:tcW w:w="1106" w:type="dxa"/>
          </w:tcPr>
          <w:p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1912XY082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TWPD-2F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±10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LCR测量仪/±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数字示波器/±1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全自动变频干扰介质损耗测试仪</w:t>
            </w:r>
          </w:p>
        </w:tc>
        <w:tc>
          <w:tcPr>
            <w:tcW w:w="1106" w:type="dxa"/>
          </w:tcPr>
          <w:p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02180690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JYC（6000E）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</w:rPr>
              <w:t>rdg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标准介损电容器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电容：U=0.2%（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=2）；介损：U=</w:t>
            </w:r>
            <w:r>
              <w:rPr>
                <w:rFonts w:hint="eastAsia"/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=2）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冲击电压测量系统</w:t>
            </w:r>
          </w:p>
        </w:tc>
        <w:tc>
          <w:tcPr>
            <w:tcW w:w="1106" w:type="dxa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S0907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CDYH-4000/600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3%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标准冲击电压测量系统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/>
                <w:sz w:val="18"/>
                <w:szCs w:val="18"/>
              </w:rPr>
              <w:t>1.8%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=2）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绝缘油击穿电压全自动测定仪</w:t>
            </w:r>
          </w:p>
        </w:tc>
        <w:tc>
          <w:tcPr>
            <w:tcW w:w="1106" w:type="dxa"/>
          </w:tcPr>
          <w:p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00558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ZHNY1801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3%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交直流分压器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1.0级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绝缘油介损及电阻率自动测试仪</w:t>
            </w:r>
          </w:p>
        </w:tc>
        <w:tc>
          <w:tcPr>
            <w:tcW w:w="1106" w:type="dxa"/>
          </w:tcPr>
          <w:p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0093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ZHJ3100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0.1%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标准介损电容器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电容：U=0.2%（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=2）；介损：U=</w:t>
            </w:r>
            <w:r>
              <w:rPr>
                <w:rFonts w:hint="eastAsia"/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=2）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接地电阻测试仪</w:t>
            </w:r>
          </w:p>
        </w:tc>
        <w:tc>
          <w:tcPr>
            <w:tcW w:w="110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C192308803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UT521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position w:val="-10"/>
                <w:sz w:val="18"/>
                <w:szCs w:val="18"/>
              </w:rPr>
            </w:pPr>
            <w:r>
              <w:rPr>
                <w:rFonts w:hint="eastAsia"/>
                <w:position w:val="-10"/>
                <w:sz w:val="18"/>
                <w:szCs w:val="18"/>
              </w:rPr>
              <w:t>接地电阻表检定装置</w:t>
            </w:r>
          </w:p>
          <w:p>
            <w:pPr>
              <w:jc w:val="center"/>
              <w:rPr>
                <w:position w:val="-10"/>
                <w:sz w:val="18"/>
                <w:szCs w:val="18"/>
              </w:rPr>
            </w:pPr>
            <w:r>
              <w:rPr>
                <w:rFonts w:hint="eastAsia"/>
                <w:position w:val="-10"/>
                <w:sz w:val="18"/>
                <w:szCs w:val="18"/>
              </w:rPr>
              <w:t>0.1级~0.5级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2021.1.8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功率分析仪</w:t>
            </w:r>
          </w:p>
        </w:tc>
        <w:tc>
          <w:tcPr>
            <w:tcW w:w="1106" w:type="dxa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MO41553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NORMA4000CN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position w:val="-10"/>
                <w:sz w:val="18"/>
                <w:szCs w:val="18"/>
              </w:rPr>
            </w:pPr>
            <w:r>
              <w:rPr>
                <w:rFonts w:hint="eastAsia"/>
                <w:position w:val="-10"/>
                <w:sz w:val="18"/>
                <w:szCs w:val="18"/>
              </w:rPr>
              <w:t>多功能校准器</w:t>
            </w:r>
          </w:p>
          <w:p>
            <w:pPr>
              <w:jc w:val="center"/>
              <w:rPr>
                <w:rFonts w:hint="eastAsia"/>
                <w:position w:val="-1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position w:val="-10"/>
                <w:sz w:val="18"/>
                <w:szCs w:val="18"/>
                <w:lang w:val="en-US" w:eastAsia="zh-CN"/>
              </w:rPr>
              <w:t>ACV：</w:t>
            </w:r>
            <w:r>
              <w:rPr>
                <w:rFonts w:hint="eastAsia"/>
                <w:position w:val="-1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/>
                <w:position w:val="-10"/>
                <w:sz w:val="18"/>
                <w:szCs w:val="18"/>
              </w:rPr>
              <w:t>μ</w:t>
            </w:r>
            <w:r>
              <w:rPr>
                <w:rFonts w:hint="eastAsia"/>
                <w:position w:val="-10"/>
                <w:sz w:val="18"/>
                <w:szCs w:val="18"/>
              </w:rPr>
              <w:t>V</w:t>
            </w:r>
            <w:r>
              <w:rPr>
                <w:rFonts w:hint="eastAsia"/>
                <w:position w:val="-10"/>
                <w:sz w:val="18"/>
                <w:szCs w:val="18"/>
                <w:lang w:val="en-US" w:eastAsia="zh-CN"/>
              </w:rPr>
              <w:t>~300ppm输出+10mV</w:t>
            </w:r>
          </w:p>
          <w:p>
            <w:pPr>
              <w:jc w:val="center"/>
              <w:rPr>
                <w:rFonts w:hint="default" w:eastAsiaTheme="minorEastAsia"/>
                <w:position w:val="-1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position w:val="-10"/>
                <w:sz w:val="18"/>
                <w:szCs w:val="18"/>
                <w:lang w:val="en-US" w:eastAsia="zh-CN"/>
              </w:rPr>
              <w:t>ACI：</w:t>
            </w:r>
            <w:r>
              <w:rPr>
                <w:rFonts w:hint="eastAsia"/>
                <w:position w:val="-10"/>
                <w:sz w:val="18"/>
                <w:szCs w:val="18"/>
              </w:rPr>
              <w:t>0.1</w:t>
            </w:r>
            <w:r>
              <w:rPr>
                <w:rFonts w:hint="eastAsia" w:ascii="宋体" w:hAnsi="宋体" w:eastAsia="宋体"/>
                <w:position w:val="-10"/>
                <w:sz w:val="18"/>
                <w:szCs w:val="18"/>
              </w:rPr>
              <w:t>μ</w:t>
            </w:r>
            <w:r>
              <w:rPr>
                <w:rFonts w:hint="eastAsia"/>
                <w:position w:val="-10"/>
                <w:sz w:val="18"/>
                <w:szCs w:val="18"/>
              </w:rPr>
              <w:t>A</w:t>
            </w:r>
            <w:r>
              <w:rPr>
                <w:rFonts w:hint="eastAsia"/>
                <w:position w:val="-10"/>
                <w:sz w:val="18"/>
                <w:szCs w:val="18"/>
                <w:lang w:val="en-US" w:eastAsia="zh-CN"/>
              </w:rPr>
              <w:t>~0.15%输出+5mV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</w:t>
            </w:r>
            <w:r>
              <w:rPr>
                <w:rFonts w:hint="eastAsia"/>
                <w:sz w:val="18"/>
                <w:szCs w:val="18"/>
              </w:rPr>
              <w:t>标卡尺</w:t>
            </w:r>
          </w:p>
        </w:tc>
        <w:tc>
          <w:tcPr>
            <w:tcW w:w="1106" w:type="dxa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（0~300）mm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701271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/>
                <w:position w:val="-10"/>
                <w:sz w:val="18"/>
                <w:szCs w:val="18"/>
              </w:rPr>
            </w:pPr>
            <w:r>
              <w:rPr>
                <w:rFonts w:hint="eastAsia"/>
                <w:position w:val="-10"/>
                <w:sz w:val="18"/>
                <w:szCs w:val="18"/>
              </w:rPr>
              <w:t>检定</w:t>
            </w:r>
            <w:r>
              <w:rPr>
                <w:rFonts w:hint="eastAsia"/>
                <w:position w:val="-10"/>
                <w:sz w:val="18"/>
                <w:szCs w:val="18"/>
                <w:lang w:val="en-US" w:eastAsia="zh-CN"/>
              </w:rPr>
              <w:t>游</w:t>
            </w:r>
            <w:r>
              <w:rPr>
                <w:rFonts w:hint="eastAsia"/>
                <w:position w:val="-10"/>
                <w:sz w:val="18"/>
                <w:szCs w:val="18"/>
              </w:rPr>
              <w:t>标量具标准器组</w:t>
            </w:r>
          </w:p>
          <w:p>
            <w:pPr>
              <w:jc w:val="center"/>
              <w:rPr>
                <w:rFonts w:hint="eastAsia"/>
                <w:position w:val="-10"/>
                <w:sz w:val="18"/>
                <w:szCs w:val="18"/>
              </w:rPr>
            </w:pPr>
            <w:r>
              <w:rPr>
                <w:rFonts w:hint="eastAsia"/>
                <w:position w:val="-10"/>
                <w:sz w:val="18"/>
                <w:szCs w:val="18"/>
              </w:rPr>
              <w:t>5等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10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公司已制定《计量确认管理程序》、《外部供方管理程序》，《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负责溯源。公司测量设备全部委托苏州电器科学研究院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上海电动工具研究所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苏州市吴江区检验检测中心等机构检定/校准，校准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232" w:type="dxa"/>
            <w:gridSpan w:val="10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4370070</wp:posOffset>
                  </wp:positionH>
                  <wp:positionV relativeFrom="paragraph">
                    <wp:posOffset>184785</wp:posOffset>
                  </wp:positionV>
                  <wp:extent cx="1141095" cy="465455"/>
                  <wp:effectExtent l="0" t="0" r="1905" b="1270"/>
                  <wp:wrapNone/>
                  <wp:docPr id="5" name="图片 5" descr="5a740835637f6fdc0006f2a264048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a740835637f6fdc0006f2a264048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日期：2021年09 月18日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09月 18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58240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XOuL1wAAAAoBAAAPAAAAAAAAAAEAIAAAACIAAABkcnMv&#10;ZG93bnJldi54bWxQSwECFAAUAAAACACHTuJAcfr2RcsBAACAAwAADgAAAAAAAAABACAAAAAmAQAA&#10;ZHJzL2Uyb0RvYy54bWxQSwUGAAAAAAYABgBZAQAAY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58240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n&#10;SeHUAAAABgEAAA8AAAAAAAAAAQAgAAAAIgAAAGRycy9kb3ducmV2LnhtbFBLAQIUABQAAAAIAIdO&#10;4kBwtfpH7gEAALgDAAAOAAAAAAAAAAEAIAAAACMBAABkcnMvZTJvRG9jLnhtbFBLBQYAAAAABgAG&#10;AFkBAACD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A236E"/>
    <w:rsid w:val="000C6E88"/>
    <w:rsid w:val="001376E0"/>
    <w:rsid w:val="00141F79"/>
    <w:rsid w:val="001C0853"/>
    <w:rsid w:val="001E0FBE"/>
    <w:rsid w:val="001E7B9C"/>
    <w:rsid w:val="0021570A"/>
    <w:rsid w:val="0024057A"/>
    <w:rsid w:val="00244C31"/>
    <w:rsid w:val="0024755B"/>
    <w:rsid w:val="0029310C"/>
    <w:rsid w:val="002A3CBC"/>
    <w:rsid w:val="002B25C0"/>
    <w:rsid w:val="002D3C05"/>
    <w:rsid w:val="002E7FC9"/>
    <w:rsid w:val="003019A5"/>
    <w:rsid w:val="003028D9"/>
    <w:rsid w:val="0033169D"/>
    <w:rsid w:val="00347B58"/>
    <w:rsid w:val="0036244D"/>
    <w:rsid w:val="003857FA"/>
    <w:rsid w:val="00392597"/>
    <w:rsid w:val="00397674"/>
    <w:rsid w:val="003C5120"/>
    <w:rsid w:val="003E2C4F"/>
    <w:rsid w:val="003F7ABC"/>
    <w:rsid w:val="004022C8"/>
    <w:rsid w:val="00424CB0"/>
    <w:rsid w:val="0044252F"/>
    <w:rsid w:val="0045649A"/>
    <w:rsid w:val="00474F39"/>
    <w:rsid w:val="00514A85"/>
    <w:rsid w:val="005224D2"/>
    <w:rsid w:val="00535018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C63D6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C462B"/>
    <w:rsid w:val="008D01A0"/>
    <w:rsid w:val="008D0A78"/>
    <w:rsid w:val="008F6BDE"/>
    <w:rsid w:val="00901F02"/>
    <w:rsid w:val="00910F61"/>
    <w:rsid w:val="0092275E"/>
    <w:rsid w:val="00933CD7"/>
    <w:rsid w:val="00943D20"/>
    <w:rsid w:val="00957382"/>
    <w:rsid w:val="00960CD7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15C9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63C70"/>
    <w:rsid w:val="00BC0644"/>
    <w:rsid w:val="00BC64C8"/>
    <w:rsid w:val="00BD3740"/>
    <w:rsid w:val="00BF27E8"/>
    <w:rsid w:val="00C0452F"/>
    <w:rsid w:val="00C078BF"/>
    <w:rsid w:val="00C334B6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73150"/>
    <w:rsid w:val="00E860B8"/>
    <w:rsid w:val="00EA2C18"/>
    <w:rsid w:val="00EC239C"/>
    <w:rsid w:val="00EC700C"/>
    <w:rsid w:val="00EF775C"/>
    <w:rsid w:val="00F262C5"/>
    <w:rsid w:val="00F4421C"/>
    <w:rsid w:val="00F76040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5426A18"/>
    <w:rsid w:val="095A781A"/>
    <w:rsid w:val="0A77056F"/>
    <w:rsid w:val="0B5C3E8B"/>
    <w:rsid w:val="0D091A8B"/>
    <w:rsid w:val="11661E8D"/>
    <w:rsid w:val="11715278"/>
    <w:rsid w:val="14BC4A25"/>
    <w:rsid w:val="1D0A419B"/>
    <w:rsid w:val="1E920FB6"/>
    <w:rsid w:val="21C405FE"/>
    <w:rsid w:val="22F86E2E"/>
    <w:rsid w:val="249C7E16"/>
    <w:rsid w:val="2C7468C9"/>
    <w:rsid w:val="2DF5320B"/>
    <w:rsid w:val="2EFC6999"/>
    <w:rsid w:val="2FE324E6"/>
    <w:rsid w:val="2FF32877"/>
    <w:rsid w:val="3256196B"/>
    <w:rsid w:val="39A8539E"/>
    <w:rsid w:val="3B796F4A"/>
    <w:rsid w:val="3C2F2F96"/>
    <w:rsid w:val="3E286EA6"/>
    <w:rsid w:val="4162619F"/>
    <w:rsid w:val="416978E4"/>
    <w:rsid w:val="4206500A"/>
    <w:rsid w:val="456F5B83"/>
    <w:rsid w:val="458B1E9C"/>
    <w:rsid w:val="48BC13B5"/>
    <w:rsid w:val="52315F19"/>
    <w:rsid w:val="54954B72"/>
    <w:rsid w:val="55910144"/>
    <w:rsid w:val="56D04AEF"/>
    <w:rsid w:val="57CA1A9A"/>
    <w:rsid w:val="5E197ADA"/>
    <w:rsid w:val="5F9A312C"/>
    <w:rsid w:val="60CB4864"/>
    <w:rsid w:val="6816613A"/>
    <w:rsid w:val="6BBA5EAD"/>
    <w:rsid w:val="6DAE4BCF"/>
    <w:rsid w:val="6DE41069"/>
    <w:rsid w:val="6FBF39C1"/>
    <w:rsid w:val="792E3D72"/>
    <w:rsid w:val="7B18314A"/>
    <w:rsid w:val="7BD10315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188</Words>
  <Characters>1074</Characters>
  <Lines>8</Lines>
  <Paragraphs>2</Paragraphs>
  <TotalTime>1</TotalTime>
  <ScaleCrop>false</ScaleCrop>
  <LinksUpToDate>false</LinksUpToDate>
  <CharactersWithSpaces>1260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2021-09-18T03:06:00Z</dcterms:created>
  <dc:creator>alexander chang</dc:creator>
  <cp:lastModifiedBy>WPS_1601433895</cp:lastModifiedBy>
  <dcterms:modified xsi:type="dcterms:W3CDTF">2021-09-18T07:50:13Z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