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0449-2020-QO-2021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道达电动车制造成都有限公司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道达电动车制造成都有限公司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成都市大邑县晋原镇建业路北段180号</w:t>
            </w:r>
            <w:bookmarkEnd w:id="6"/>
          </w:p>
        </w:tc>
        <w:tc>
          <w:tcPr>
            <w:tcW w:w="1242" w:type="dxa"/>
            <w:vMerge w:val="restart"/>
            <w:vAlign w:val="center"/>
          </w:tcPr>
          <w:p>
            <w:r>
              <w:rPr>
                <w:rFonts w:hint="eastAsia"/>
              </w:rPr>
              <w:t>邮编</w:t>
            </w:r>
          </w:p>
        </w:tc>
        <w:tc>
          <w:tcPr>
            <w:tcW w:w="1771" w:type="dxa"/>
          </w:tcPr>
          <w:p>
            <w:bookmarkStart w:id="7" w:name="注册邮编"/>
            <w:r>
              <w:t>611330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成都市大邑县晋原镇建业路北段180号</w:t>
            </w:r>
            <w:bookmarkEnd w:id="8"/>
          </w:p>
        </w:tc>
        <w:tc>
          <w:tcPr>
            <w:tcW w:w="1242" w:type="dxa"/>
            <w:vMerge w:val="continue"/>
            <w:vAlign w:val="center"/>
          </w:tcPr>
          <w:p/>
        </w:tc>
        <w:tc>
          <w:tcPr>
            <w:tcW w:w="1771" w:type="dxa"/>
          </w:tcPr>
          <w:p>
            <w:bookmarkStart w:id="9" w:name="办公邮编"/>
            <w:r>
              <w:t>611330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马学洋</w:t>
            </w:r>
            <w:bookmarkEnd w:id="10"/>
          </w:p>
        </w:tc>
        <w:tc>
          <w:tcPr>
            <w:tcW w:w="1313" w:type="dxa"/>
            <w:vAlign w:val="center"/>
          </w:tcPr>
          <w:p>
            <w:r>
              <w:rPr>
                <w:rFonts w:hint="eastAsia"/>
              </w:rPr>
              <w:t>电话.</w:t>
            </w:r>
          </w:p>
        </w:tc>
        <w:tc>
          <w:tcPr>
            <w:tcW w:w="2180" w:type="dxa"/>
            <w:vAlign w:val="center"/>
          </w:tcPr>
          <w:p>
            <w:bookmarkStart w:id="11" w:name="联系人电话"/>
            <w:r>
              <w:t>18231875050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马飞</w:t>
            </w:r>
            <w:bookmarkEnd w:id="13"/>
          </w:p>
        </w:tc>
        <w:tc>
          <w:tcPr>
            <w:tcW w:w="1313" w:type="dxa"/>
            <w:vAlign w:val="center"/>
          </w:tcPr>
          <w:p>
            <w:r>
              <w:rPr>
                <w:rFonts w:hint="eastAsia"/>
              </w:rPr>
              <w:t>管理者代表</w:t>
            </w:r>
          </w:p>
        </w:tc>
        <w:tc>
          <w:tcPr>
            <w:tcW w:w="2180" w:type="dxa"/>
          </w:tcPr>
          <w:p>
            <w:bookmarkStart w:id="14" w:name="管理者代表"/>
            <w:r>
              <w:t>张卫柯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pacing w:line="400" w:lineRule="exact"/>
              <w:jc w:val="left"/>
            </w:pPr>
            <w:r>
              <w:rPr>
                <w:rFonts w:hint="eastAsia"/>
                <w:szCs w:val="21"/>
                <w:lang w:val="en-US" w:eastAsia="zh-CN"/>
              </w:rPr>
              <w:t>工艺流程：</w:t>
            </w:r>
            <w:r>
              <w:rPr>
                <w:rFonts w:hint="eastAsia"/>
                <w:szCs w:val="21"/>
              </w:rPr>
              <w:t>机械加工→表面处理（静电喷涂）→底盘装配→车壳装配→内饰件装配→调试→入库→出厂</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2021年09月16日 上午至2021年09月16日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Q：非公路用旅游观光车的研发、生产、销售</w:t>
            </w:r>
          </w:p>
          <w:p>
            <w:r>
              <w:t>O：非公路用旅游观光车的研发、生产、销售所涉及的相关职业健康安全管理活动</w:t>
            </w:r>
          </w:p>
          <w:p>
            <w:r>
              <w:t>E：非公路用旅游观光车的研发、生产、销售所涉及场所的相关环境管理活动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Q：22.01.00</w:t>
            </w:r>
          </w:p>
          <w:p>
            <w:r>
              <w:t>O：22.01.00</w:t>
            </w:r>
          </w:p>
          <w:p>
            <w:r>
              <w:t>E：22.01.00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96"/>
        <w:gridCol w:w="12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96" w:type="dxa"/>
            <w:shd w:val="clear" w:color="auto" w:fill="F3F3F3"/>
            <w:tcMar>
              <w:left w:w="57" w:type="dxa"/>
              <w:right w:w="57" w:type="dxa"/>
            </w:tcMar>
          </w:tcPr>
          <w:p>
            <w:r>
              <w:rPr>
                <w:rFonts w:hint="eastAsia"/>
              </w:rPr>
              <w:t>审核范围（产品和过程）</w:t>
            </w:r>
          </w:p>
          <w:p/>
          <w:p/>
        </w:tc>
        <w:tc>
          <w:tcPr>
            <w:tcW w:w="127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成都市大邑县晋原镇建业路北段 180 号</w:t>
            </w:r>
          </w:p>
        </w:tc>
        <w:tc>
          <w:tcPr>
            <w:tcW w:w="2267" w:type="dxa"/>
          </w:tcPr>
          <w:p>
            <w:pPr>
              <w:rPr>
                <w:lang w:val="de-DE" w:eastAsia="ja-JP"/>
              </w:rPr>
            </w:pPr>
            <w:r>
              <w:rPr>
                <w:rFonts w:hint="eastAsia"/>
                <w:lang w:val="de-DE" w:eastAsia="ja-JP"/>
              </w:rPr>
              <w:t>成都市大邑县晋原镇建业路北段 180 号</w:t>
            </w:r>
          </w:p>
        </w:tc>
        <w:tc>
          <w:tcPr>
            <w:tcW w:w="571" w:type="dxa"/>
            <w:vAlign w:val="center"/>
          </w:tcPr>
          <w:p>
            <w:pPr>
              <w:rPr>
                <w:rFonts w:hint="default" w:eastAsia="宋体"/>
                <w:lang w:val="en-US" w:eastAsia="zh-CN"/>
              </w:rPr>
            </w:pPr>
            <w:r>
              <w:rPr>
                <w:rFonts w:hint="eastAsia"/>
                <w:lang w:val="en-US" w:eastAsia="zh-CN"/>
              </w:rPr>
              <w:t>35</w:t>
            </w:r>
          </w:p>
        </w:tc>
        <w:tc>
          <w:tcPr>
            <w:tcW w:w="2196" w:type="dxa"/>
            <w:vAlign w:val="center"/>
          </w:tcPr>
          <w:p>
            <w:pPr>
              <w:rPr>
                <w:lang w:eastAsia="ja-JP"/>
              </w:rPr>
            </w:pPr>
            <w:r>
              <w:t>非公路用旅游观光车的研发、生产、销售</w:t>
            </w:r>
          </w:p>
        </w:tc>
        <w:tc>
          <w:tcPr>
            <w:tcW w:w="1276" w:type="dxa"/>
            <w:vAlign w:val="center"/>
          </w:tcPr>
          <w:p>
            <w:pPr>
              <w:rPr>
                <w:lang w:eastAsia="ja-JP"/>
              </w:rPr>
            </w:pPr>
            <w:r>
              <w:rPr>
                <w:rFonts w:hint="eastAsia" w:ascii="Times New Roman" w:hAnsi="Times New Roman" w:eastAsia="宋体" w:cs="Times New Roman"/>
                <w:lang w:val="de-DE" w:eastAsia="ja-JP"/>
              </w:rPr>
              <w:t>GB/T19001-2016/ISO 9001:2015</w:t>
            </w:r>
          </w:p>
        </w:tc>
        <w:tc>
          <w:tcPr>
            <w:tcW w:w="668" w:type="dxa"/>
            <w:shd w:val="clear" w:color="auto" w:fill="FFFFFF"/>
          </w:tcPr>
          <w:p>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lang w:val="de-DE" w:eastAsia="ja-JP"/>
              </w:rPr>
              <w:t>成都市大邑县晋原镇建业路北段 180 号</w:t>
            </w:r>
          </w:p>
        </w:tc>
        <w:tc>
          <w:tcPr>
            <w:tcW w:w="2267" w:type="dxa"/>
            <w:vAlign w:val="top"/>
          </w:tcPr>
          <w:p>
            <w:pPr>
              <w:rPr>
                <w:lang w:eastAsia="ja-JP"/>
              </w:rPr>
            </w:pPr>
            <w:r>
              <w:rPr>
                <w:rFonts w:hint="eastAsia"/>
                <w:lang w:val="de-DE" w:eastAsia="ja-JP"/>
              </w:rPr>
              <w:t>成都市大邑县晋原镇建业路北段 180 号</w:t>
            </w:r>
          </w:p>
        </w:tc>
        <w:tc>
          <w:tcPr>
            <w:tcW w:w="571" w:type="dxa"/>
            <w:vAlign w:val="center"/>
          </w:tcPr>
          <w:p>
            <w:pPr>
              <w:rPr>
                <w:lang w:eastAsia="ja-JP"/>
              </w:rPr>
            </w:pPr>
            <w:r>
              <w:rPr>
                <w:rFonts w:hint="eastAsia"/>
                <w:lang w:val="en-US" w:eastAsia="zh-CN"/>
              </w:rPr>
              <w:t>35</w:t>
            </w:r>
          </w:p>
        </w:tc>
        <w:tc>
          <w:tcPr>
            <w:tcW w:w="2196" w:type="dxa"/>
            <w:vAlign w:val="center"/>
          </w:tcPr>
          <w:p>
            <w:pPr>
              <w:rPr>
                <w:lang w:eastAsia="ja-JP"/>
              </w:rPr>
            </w:pPr>
            <w:r>
              <w:rPr>
                <w:sz w:val="20"/>
              </w:rPr>
              <w:t>非公路用旅游观光车的研发、生产、销售所涉及的相关职业健康安全管理活动</w:t>
            </w:r>
          </w:p>
        </w:tc>
        <w:tc>
          <w:tcPr>
            <w:tcW w:w="1276" w:type="dxa"/>
            <w:vAlign w:val="center"/>
          </w:tcPr>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GB/T24001-2016/ISO 14001:2015</w:t>
            </w:r>
          </w:p>
        </w:tc>
        <w:tc>
          <w:tcPr>
            <w:tcW w:w="668" w:type="dxa"/>
            <w:shd w:val="clear" w:color="auto" w:fill="FFFFFF"/>
          </w:tcPr>
          <w:p>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lang w:val="de-DE" w:eastAsia="ja-JP"/>
              </w:rPr>
              <w:t>成都市大邑县晋原镇建业路北段 180 号</w:t>
            </w:r>
          </w:p>
        </w:tc>
        <w:tc>
          <w:tcPr>
            <w:tcW w:w="2267" w:type="dxa"/>
            <w:vAlign w:val="top"/>
          </w:tcPr>
          <w:p>
            <w:pPr>
              <w:rPr>
                <w:lang w:eastAsia="ja-JP"/>
              </w:rPr>
            </w:pPr>
            <w:r>
              <w:rPr>
                <w:rFonts w:hint="eastAsia"/>
                <w:lang w:val="de-DE" w:eastAsia="ja-JP"/>
              </w:rPr>
              <w:t>成都市大邑县晋原镇建业路北段 180 号</w:t>
            </w:r>
          </w:p>
        </w:tc>
        <w:tc>
          <w:tcPr>
            <w:tcW w:w="571" w:type="dxa"/>
            <w:vAlign w:val="center"/>
          </w:tcPr>
          <w:p>
            <w:pPr>
              <w:rPr>
                <w:lang w:eastAsia="ja-JP"/>
              </w:rPr>
            </w:pPr>
            <w:r>
              <w:rPr>
                <w:rFonts w:hint="eastAsia"/>
                <w:lang w:val="en-US" w:eastAsia="zh-CN"/>
              </w:rPr>
              <w:t>35</w:t>
            </w:r>
          </w:p>
        </w:tc>
        <w:tc>
          <w:tcPr>
            <w:tcW w:w="2196" w:type="dxa"/>
            <w:vAlign w:val="center"/>
          </w:tcPr>
          <w:p>
            <w:pPr>
              <w:rPr>
                <w:lang w:eastAsia="ja-JP"/>
              </w:rPr>
            </w:pPr>
            <w:r>
              <w:rPr>
                <w:sz w:val="20"/>
              </w:rPr>
              <w:t>非公路用旅游观光车的研发、生产、销售所涉及场所的相关环境管理活动</w:t>
            </w:r>
          </w:p>
        </w:tc>
        <w:tc>
          <w:tcPr>
            <w:tcW w:w="1276" w:type="dxa"/>
            <w:vAlign w:val="center"/>
          </w:tcPr>
          <w:p>
            <w:pPr>
              <w:rPr>
                <w:rFonts w:hint="eastAsia" w:ascii="Times New Roman" w:hAnsi="Times New Roman" w:eastAsia="宋体" w:cs="Times New Roman"/>
                <w:lang w:val="de-DE" w:eastAsia="ja-JP"/>
              </w:rPr>
            </w:pPr>
            <w:r>
              <w:rPr>
                <w:rFonts w:hint="eastAsia" w:ascii="Times New Roman" w:hAnsi="Times New Roman" w:eastAsia="宋体" w:cs="Times New Roman"/>
                <w:lang w:val="de-DE" w:eastAsia="ja-JP"/>
              </w:rPr>
              <w:t>GB/T45001-2020/ISO45001：2020</w:t>
            </w:r>
          </w:p>
        </w:tc>
        <w:tc>
          <w:tcPr>
            <w:tcW w:w="668" w:type="dxa"/>
            <w:shd w:val="clear" w:color="auto" w:fill="FFFFFF"/>
          </w:tcPr>
          <w:p>
            <w:r>
              <w:rPr>
                <w:rFonts w:hint="eastAsia"/>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6" w:type="dxa"/>
            <w:vAlign w:val="center"/>
          </w:tcPr>
          <w:p>
            <w:pPr>
              <w:rPr>
                <w:lang w:eastAsia="ja-JP"/>
              </w:rPr>
            </w:pPr>
          </w:p>
        </w:tc>
        <w:tc>
          <w:tcPr>
            <w:tcW w:w="12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6" w:type="dxa"/>
            <w:vAlign w:val="center"/>
          </w:tcPr>
          <w:p>
            <w:pPr>
              <w:rPr>
                <w:lang w:eastAsia="ja-JP"/>
              </w:rPr>
            </w:pPr>
          </w:p>
        </w:tc>
        <w:tc>
          <w:tcPr>
            <w:tcW w:w="127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2019-N1OHSMS-2093566</w:t>
            </w:r>
          </w:p>
          <w:p>
            <w:r>
              <w:t>2021-N1EMS-3093566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姜正忠</w:t>
            </w:r>
          </w:p>
        </w:tc>
        <w:tc>
          <w:tcPr>
            <w:tcW w:w="1089" w:type="dxa"/>
            <w:vAlign w:val="center"/>
          </w:tcPr>
          <w:p>
            <w:r>
              <w:t>组员</w:t>
            </w:r>
          </w:p>
        </w:tc>
        <w:tc>
          <w:tcPr>
            <w:tcW w:w="711" w:type="dxa"/>
            <w:vAlign w:val="center"/>
          </w:tcPr>
          <w:p>
            <w:r>
              <w:t>男</w:t>
            </w:r>
          </w:p>
        </w:tc>
        <w:tc>
          <w:tcPr>
            <w:tcW w:w="3870" w:type="dxa"/>
            <w:vAlign w:val="center"/>
          </w:tcPr>
          <w:p>
            <w:r>
              <w:t>ISC-JSZJ-385</w:t>
            </w:r>
          </w:p>
          <w:p>
            <w:r>
              <w:t>ISC-JSZJ-385</w:t>
            </w:r>
          </w:p>
          <w:p>
            <w:r>
              <w:t>ISC-JSZJ-385</w:t>
            </w:r>
          </w:p>
          <w:p>
            <w:r>
              <w:t>成都创驰底盘系统有限公司</w:t>
            </w:r>
          </w:p>
        </w:tc>
        <w:tc>
          <w:tcPr>
            <w:tcW w:w="2179" w:type="dxa"/>
            <w:vAlign w:val="center"/>
          </w:tcPr>
          <w:p>
            <w:r>
              <w:t>Q:22.01.00</w:t>
            </w:r>
          </w:p>
          <w:p>
            <w:r>
              <w:t>O:22.01.00</w:t>
            </w:r>
          </w:p>
          <w:p>
            <w:r>
              <w:t>E:22.01.00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sz w:val="20"/>
                <w:lang w:val="en-US" w:eastAsia="zh-CN"/>
              </w:rPr>
            </w:pPr>
            <w:r>
              <w:rPr>
                <w:rFonts w:hint="eastAsia"/>
                <w:sz w:val="20"/>
                <w:lang w:val="en-US" w:eastAsia="zh-CN"/>
              </w:rPr>
              <w:t>原范围：“</w:t>
            </w:r>
            <w:r>
              <w:rPr>
                <w:sz w:val="20"/>
              </w:rPr>
              <w:t>E：非公路用旅游观光车的研发、销售所涉及场所的相关环境管理活动</w:t>
            </w:r>
            <w:r>
              <w:rPr>
                <w:rFonts w:hint="eastAsia"/>
                <w:sz w:val="20"/>
                <w:lang w:val="en-US" w:eastAsia="zh-CN"/>
              </w:rPr>
              <w:t>变更后”</w:t>
            </w:r>
          </w:p>
          <w:p>
            <w:r>
              <w:rPr>
                <w:rFonts w:hint="eastAsia"/>
                <w:sz w:val="20"/>
                <w:lang w:val="en-US" w:eastAsia="zh-CN"/>
              </w:rPr>
              <w:t>变更后范围：“</w:t>
            </w:r>
            <w:r>
              <w:rPr>
                <w:sz w:val="20"/>
              </w:rPr>
              <w:t>E：非公路用旅游观光车的研发、生产、销售所涉及场所的相关环境管理活动</w:t>
            </w:r>
            <w:r>
              <w:rPr>
                <w:rFonts w:hint="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cs="Times New Roman"/>
                <w:szCs w:val="22"/>
              </w:rPr>
              <w:t>上次不符合</w:t>
            </w:r>
            <w:r>
              <w:rPr>
                <w:rFonts w:hint="eastAsia" w:ascii="Times New Roman" w:hAnsi="Times New Roman" w:cs="Times New Roman"/>
                <w:szCs w:val="22"/>
                <w:lang w:val="en-US" w:eastAsia="zh-CN"/>
              </w:rPr>
              <w:t>分</w:t>
            </w:r>
            <w:r>
              <w:rPr>
                <w:rFonts w:hint="eastAsia" w:ascii="Times New Roman" w:hAnsi="Times New Roman" w:eastAsia="宋体" w:cs="Times New Roman"/>
                <w:szCs w:val="22"/>
                <w:lang w:val="en-US" w:eastAsia="zh-CN"/>
              </w:rPr>
              <w:t>别</w:t>
            </w:r>
            <w:r>
              <w:rPr>
                <w:rFonts w:hint="eastAsia" w:ascii="Times New Roman" w:hAnsi="Times New Roman" w:eastAsia="宋体" w:cs="Times New Roman"/>
                <w:szCs w:val="22"/>
              </w:rPr>
              <w:t>为</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1、生产部Q</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8.5.1</w:t>
            </w:r>
            <w:r>
              <w:rPr>
                <w:rFonts w:hint="eastAsia" w:ascii="Times New Roman" w:hAnsi="Times New Roman" w:eastAsia="宋体" w:cs="Times New Roman"/>
                <w:szCs w:val="22"/>
              </w:rPr>
              <w:t>条款，查确认过程管理，不能提供焊接过程的确认记录，不符合标准要求</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2、行政部E8.1条款，</w:t>
            </w:r>
            <w:r>
              <w:rPr>
                <w:rFonts w:hint="eastAsia" w:ascii="Times New Roman" w:hAnsi="Times New Roman" w:eastAsia="宋体" w:cs="Times New Roman"/>
                <w:szCs w:val="22"/>
              </w:rPr>
              <w:t>不能提供2020年8月固废分类处理记录，不符合标准和文件要求</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经本次审核验证均整改且无类似不符合情况出现</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none"/>
        </w:rPr>
      </w:pPr>
      <w:r>
        <w:rPr>
          <w:rFonts w:hint="eastAsia"/>
        </w:rPr>
        <w:t>十</w:t>
      </w:r>
      <w:r>
        <w:rPr>
          <w:rFonts w:hint="eastAsia"/>
          <w:highlight w:val="none"/>
        </w:rPr>
        <w:t>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yellow"/>
              </w:rPr>
            </w:pPr>
            <w:r>
              <w:rPr>
                <w:rFonts w:hint="eastAsia"/>
                <w:highlight w:val="yellow"/>
              </w:rPr>
              <w:t>体系名称缩写</w:t>
            </w:r>
          </w:p>
        </w:tc>
        <w:tc>
          <w:tcPr>
            <w:tcW w:w="1698" w:type="dxa"/>
          </w:tcPr>
          <w:p>
            <w:pPr>
              <w:rPr>
                <w:highlight w:val="yellow"/>
              </w:rPr>
            </w:pPr>
            <w:r>
              <w:rPr>
                <w:rFonts w:hint="eastAsia"/>
                <w:highlight w:val="yellow"/>
              </w:rPr>
              <w:t>一般不符合数量</w:t>
            </w:r>
          </w:p>
        </w:tc>
        <w:tc>
          <w:tcPr>
            <w:tcW w:w="1717" w:type="dxa"/>
          </w:tcPr>
          <w:p>
            <w:pPr>
              <w:rPr>
                <w:highlight w:val="yellow"/>
              </w:rPr>
            </w:pPr>
            <w:r>
              <w:rPr>
                <w:rFonts w:hint="eastAsia"/>
                <w:highlight w:val="yellow"/>
              </w:rPr>
              <w:t>严重不符合数量</w:t>
            </w:r>
          </w:p>
        </w:tc>
        <w:tc>
          <w:tcPr>
            <w:tcW w:w="1560" w:type="dxa"/>
          </w:tcPr>
          <w:p>
            <w:pPr>
              <w:rPr>
                <w:highlight w:val="yellow"/>
              </w:rPr>
            </w:pPr>
            <w:r>
              <w:rPr>
                <w:rFonts w:hint="eastAsia"/>
                <w:highlight w:val="yellow"/>
              </w:rPr>
              <w:t>不符合项总数</w:t>
            </w:r>
          </w:p>
        </w:tc>
        <w:tc>
          <w:tcPr>
            <w:tcW w:w="296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QMS</w:t>
            </w:r>
          </w:p>
        </w:tc>
        <w:tc>
          <w:tcPr>
            <w:tcW w:w="1698" w:type="dxa"/>
          </w:tcPr>
          <w:p>
            <w:pPr>
              <w:rPr>
                <w:rFonts w:hint="eastAsia" w:eastAsia="宋体"/>
                <w:highlight w:val="yellow"/>
                <w:lang w:val="en-US" w:eastAsia="zh-CN"/>
              </w:rPr>
            </w:pPr>
            <w:r>
              <w:rPr>
                <w:rFonts w:hint="eastAsia"/>
                <w:highlight w:val="yellow"/>
                <w:lang w:val="en-US" w:eastAsia="zh-CN"/>
              </w:rPr>
              <w:t>1</w:t>
            </w: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lang w:eastAsia="zh-CN"/>
              </w:rPr>
              <w:t>☑</w:t>
            </w:r>
            <w:r>
              <w:rPr>
                <w:rFonts w:hint="eastAsia"/>
                <w:highlight w:val="yellow"/>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50430</w:t>
            </w:r>
          </w:p>
        </w:tc>
        <w:tc>
          <w:tcPr>
            <w:tcW w:w="1698" w:type="dxa"/>
          </w:tcPr>
          <w:p>
            <w:pPr>
              <w:rPr>
                <w:highlight w:val="yellow"/>
              </w:rPr>
            </w:pP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EMS</w:t>
            </w:r>
          </w:p>
        </w:tc>
        <w:tc>
          <w:tcPr>
            <w:tcW w:w="1698" w:type="dxa"/>
          </w:tcPr>
          <w:p>
            <w:pPr>
              <w:rPr>
                <w:rFonts w:hint="eastAsia" w:eastAsia="宋体"/>
                <w:highlight w:val="yellow"/>
                <w:lang w:val="en-US" w:eastAsia="zh-CN"/>
              </w:rPr>
            </w:pPr>
            <w:r>
              <w:rPr>
                <w:rFonts w:hint="eastAsia"/>
                <w:highlight w:val="yellow"/>
                <w:lang w:val="en-US" w:eastAsia="zh-CN"/>
              </w:rPr>
              <w:t>1</w:t>
            </w: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lang w:eastAsia="zh-CN"/>
              </w:rPr>
              <w:t>☑</w:t>
            </w:r>
            <w:r>
              <w:rPr>
                <w:rFonts w:hint="eastAsia"/>
                <w:highlight w:val="yellow"/>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OHSMS</w:t>
            </w:r>
          </w:p>
        </w:tc>
        <w:tc>
          <w:tcPr>
            <w:tcW w:w="1698" w:type="dxa"/>
          </w:tcPr>
          <w:p>
            <w:pPr>
              <w:rPr>
                <w:rFonts w:hint="eastAsia" w:eastAsia="宋体"/>
                <w:highlight w:val="yellow"/>
                <w:lang w:val="en-US" w:eastAsia="zh-CN"/>
              </w:rPr>
            </w:pPr>
            <w:r>
              <w:rPr>
                <w:rFonts w:hint="eastAsia"/>
                <w:highlight w:val="yellow"/>
                <w:lang w:val="en-US" w:eastAsia="zh-CN"/>
              </w:rPr>
              <w:t>1</w:t>
            </w:r>
          </w:p>
        </w:tc>
        <w:tc>
          <w:tcPr>
            <w:tcW w:w="1717" w:type="dxa"/>
          </w:tcPr>
          <w:p>
            <w:pPr>
              <w:rPr>
                <w:highlight w:val="yellow"/>
              </w:rPr>
            </w:pPr>
          </w:p>
        </w:tc>
        <w:tc>
          <w:tcPr>
            <w:tcW w:w="1560" w:type="dxa"/>
          </w:tcPr>
          <w:p>
            <w:pPr>
              <w:rPr>
                <w:highlight w:val="yellow"/>
              </w:rPr>
            </w:pPr>
          </w:p>
        </w:tc>
        <w:tc>
          <w:tcPr>
            <w:tcW w:w="2965" w:type="dxa"/>
          </w:tcPr>
          <w:p>
            <w:pPr>
              <w:rPr>
                <w:highlight w:val="yellow"/>
              </w:rPr>
            </w:pPr>
            <w:r>
              <w:rPr>
                <w:rFonts w:hint="eastAsia"/>
                <w:highlight w:val="yellow"/>
                <w:lang w:eastAsia="zh-CN"/>
              </w:rPr>
              <w:t>☑</w:t>
            </w:r>
            <w:r>
              <w:rPr>
                <w:rFonts w:hint="eastAsia"/>
                <w:highlight w:val="yellow"/>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sz w:val="20"/>
                <w:lang w:eastAsia="zh-CN"/>
              </w:rPr>
              <w:t>非公路用旅游观光车的研发、生产、销售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sz w:val="20"/>
                <w:lang w:eastAsia="zh-CN"/>
              </w:rPr>
              <w:t>非公路用旅游观光车的研发、生产、销售</w:t>
            </w:r>
            <w:r>
              <w:rPr>
                <w:sz w:val="20"/>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sz w:val="20"/>
                <w:lang w:eastAsia="zh-CN"/>
              </w:rPr>
              <w:t>非公路用旅游观光车的研发、生产、销售</w:t>
            </w:r>
            <w:r>
              <w:rPr>
                <w:sz w:val="20"/>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217805</wp:posOffset>
                  </wp:positionH>
                  <wp:positionV relativeFrom="paragraph">
                    <wp:posOffset>19050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eastAsia="宋体" w:cs="宋体"/>
                      <w:color w:val="000000"/>
                      <w:szCs w:val="24"/>
                    </w:rPr>
                  </w:pPr>
                  <w:r>
                    <w:rPr>
                      <w:rFonts w:hint="eastAsia" w:ascii="宋体" w:hAnsi="宋体"/>
                      <w:b/>
                      <w:sz w:val="24"/>
                    </w:rPr>
                    <w:t>产品交付合格率100%</w:t>
                  </w:r>
                </w:p>
              </w:tc>
              <w:tc>
                <w:tcPr>
                  <w:tcW w:w="3136" w:type="dxa"/>
                  <w:shd w:val="clear" w:color="auto" w:fill="auto"/>
                  <w:vAlign w:val="center"/>
                </w:tcPr>
                <w:p>
                  <w:pPr>
                    <w:rPr>
                      <w:rFonts w:hint="eastAsia" w:ascii="宋体" w:hAnsi="宋体" w:eastAsia="宋体" w:cs="宋体"/>
                      <w:color w:val="000000"/>
                      <w:szCs w:val="24"/>
                      <w:lang w:val="en-GB"/>
                    </w:rPr>
                  </w:pPr>
                  <w:r>
                    <w:rPr>
                      <w:rFonts w:hAnsi="宋体"/>
                      <w:b/>
                      <w:sz w:val="24"/>
                    </w:rPr>
                    <w:t>交付合格数</w:t>
                  </w:r>
                  <w:r>
                    <w:rPr>
                      <w:rFonts w:hint="eastAsia" w:hAnsi="宋体"/>
                      <w:b/>
                      <w:sz w:val="24"/>
                    </w:rPr>
                    <w:t>/交付</w:t>
                  </w:r>
                  <w:r>
                    <w:rPr>
                      <w:rFonts w:hAnsi="宋体"/>
                      <w:b/>
                      <w:sz w:val="24"/>
                    </w:rPr>
                    <w:t>总数*100%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GB" w:eastAsia="zh-CN"/>
                    </w:rPr>
                  </w:pPr>
                  <w:r>
                    <w:rPr>
                      <w:rFonts w:hint="eastAsia" w:ascii="宋体" w:hAnsi="宋体" w:eastAsia="宋体" w:cs="宋体"/>
                      <w:color w:val="000000"/>
                      <w:szCs w:val="24"/>
                      <w:lang w:val="en-US" w:eastAsia="zh-CN"/>
                    </w:rPr>
                    <w:t>生产部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eastAsia="宋体" w:cs="宋体"/>
                      <w:color w:val="000000"/>
                      <w:szCs w:val="24"/>
                    </w:rPr>
                  </w:pPr>
                  <w:r>
                    <w:rPr>
                      <w:rFonts w:hint="eastAsia" w:ascii="宋体" w:hAnsi="宋体"/>
                      <w:b/>
                      <w:sz w:val="24"/>
                    </w:rPr>
                    <w:t>合同按时完成率</w:t>
                  </w:r>
                  <w:r>
                    <w:rPr>
                      <w:rFonts w:ascii="宋体" w:hAnsi="宋体"/>
                      <w:b/>
                      <w:sz w:val="24"/>
                    </w:rPr>
                    <w:t>100</w:t>
                  </w:r>
                  <w:r>
                    <w:rPr>
                      <w:rFonts w:hint="eastAsia" w:ascii="宋体" w:hAnsi="宋体"/>
                      <w:b/>
                      <w:sz w:val="24"/>
                    </w:rPr>
                    <w:t>%</w:t>
                  </w:r>
                </w:p>
              </w:tc>
              <w:tc>
                <w:tcPr>
                  <w:tcW w:w="3136" w:type="dxa"/>
                  <w:shd w:val="clear" w:color="auto" w:fill="auto"/>
                  <w:vAlign w:val="center"/>
                </w:tcPr>
                <w:p>
                  <w:pPr>
                    <w:rPr>
                      <w:rFonts w:hint="eastAsia" w:ascii="宋体" w:hAnsi="宋体" w:eastAsia="宋体" w:cs="宋体"/>
                      <w:color w:val="000000"/>
                      <w:szCs w:val="24"/>
                    </w:rPr>
                  </w:pPr>
                  <w:r>
                    <w:rPr>
                      <w:rFonts w:hint="eastAsia" w:hAnsi="宋体"/>
                      <w:b/>
                      <w:sz w:val="24"/>
                    </w:rPr>
                    <w:t>按时完成数/合同</w:t>
                  </w:r>
                  <w:r>
                    <w:rPr>
                      <w:rFonts w:hAnsi="宋体"/>
                      <w:b/>
                      <w:sz w:val="24"/>
                    </w:rPr>
                    <w:t>总数*100%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eastAsia="zh-CN"/>
                    </w:rPr>
                  </w:pPr>
                  <w:r>
                    <w:rPr>
                      <w:rFonts w:hint="eastAsia" w:ascii="宋体" w:hAnsi="宋体" w:eastAsia="宋体" w:cs="宋体"/>
                      <w:color w:val="000000"/>
                      <w:szCs w:val="24"/>
                      <w:lang w:val="en-US" w:eastAsia="zh-CN"/>
                    </w:rPr>
                    <w:t>购销部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eastAsia="宋体" w:cs="宋体"/>
                      <w:color w:val="000000"/>
                      <w:szCs w:val="24"/>
                    </w:rPr>
                  </w:pPr>
                  <w:r>
                    <w:rPr>
                      <w:rFonts w:hint="eastAsia" w:ascii="宋体" w:hAnsi="宋体"/>
                      <w:b/>
                      <w:sz w:val="24"/>
                    </w:rPr>
                    <w:t>顾客满意率≥9</w:t>
                  </w:r>
                  <w:r>
                    <w:rPr>
                      <w:rFonts w:ascii="宋体" w:hAnsi="宋体"/>
                      <w:b/>
                      <w:sz w:val="24"/>
                    </w:rPr>
                    <w:t>6</w:t>
                  </w:r>
                  <w:r>
                    <w:rPr>
                      <w:rFonts w:hint="eastAsia" w:ascii="宋体" w:hAnsi="宋体"/>
                      <w:b/>
                      <w:sz w:val="24"/>
                    </w:rPr>
                    <w:t>分</w:t>
                  </w:r>
                </w:p>
              </w:tc>
              <w:tc>
                <w:tcPr>
                  <w:tcW w:w="3136" w:type="dxa"/>
                  <w:shd w:val="clear" w:color="auto" w:fill="auto"/>
                  <w:vAlign w:val="center"/>
                </w:tcPr>
                <w:p>
                  <w:pPr>
                    <w:rPr>
                      <w:rFonts w:hint="eastAsia" w:ascii="宋体" w:hAnsi="宋体" w:eastAsia="宋体" w:cs="宋体"/>
                      <w:color w:val="000000"/>
                      <w:szCs w:val="24"/>
                    </w:rPr>
                  </w:pPr>
                  <w:r>
                    <w:rPr>
                      <w:rFonts w:hint="eastAsia" w:hAnsi="宋体"/>
                      <w:b/>
                      <w:sz w:val="24"/>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行政部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清洁工具、电脑、打印机等  </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塞尺、万能角度尺、游标卡尺、坡度测量仪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rFonts w:hint="eastAsia"/>
                      <w:lang w:eastAsia="zh-CN"/>
                    </w:rPr>
                    <w:t>非公路用旅游观光车的研发、生产、销售</w:t>
                  </w:r>
                </w:p>
              </w:tc>
              <w:tc>
                <w:tcPr>
                  <w:tcW w:w="3665" w:type="dxa"/>
                </w:tcPr>
                <w:p>
                  <w:pPr>
                    <w:shd w:val="clear" w:color="auto" w:fill="C7DAF1" w:themeFill="text2" w:themeFillTint="32"/>
                    <w:jc w:val="left"/>
                    <w:rPr>
                      <w:rFonts w:hint="eastAsia" w:eastAsia="宋体"/>
                      <w:lang w:eastAsia="zh-CN"/>
                    </w:rPr>
                  </w:pPr>
                  <w:r>
                    <w:rPr>
                      <w:rFonts w:hint="eastAsia"/>
                      <w:lang w:eastAsia="zh-CN"/>
                    </w:rPr>
                    <w:t>服务过程</w:t>
                  </w:r>
                </w:p>
              </w:tc>
              <w:tc>
                <w:tcPr>
                  <w:tcW w:w="3265" w:type="dxa"/>
                </w:tcPr>
                <w:p>
                  <w:pPr>
                    <w:shd w:val="clear" w:color="auto" w:fill="C7DAF1" w:themeFill="text2" w:themeFillTint="32"/>
                    <w:jc w:val="left"/>
                    <w:rPr>
                      <w:rFonts w:hint="eastAsia" w:eastAsia="宋体"/>
                      <w:lang w:eastAsia="zh-CN"/>
                    </w:rPr>
                  </w:pPr>
                  <w:r>
                    <w:rPr>
                      <w:rFonts w:hint="eastAsia"/>
                      <w:lang w:eastAsia="zh-CN"/>
                    </w:rPr>
                    <w:t>顾客满意度、服务规范性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lang w:val="en-US" w:eastAsia="zh-CN"/>
              </w:rPr>
              <w:t>2021年3月20-21日</w:t>
            </w:r>
            <w:r>
              <w:rPr>
                <w:rFonts w:hint="eastAsia"/>
                <w:highlight w:val="none"/>
              </w:rPr>
              <w:t>实施了质量管</w:t>
            </w:r>
            <w:r>
              <w:rPr>
                <w:rFonts w:hint="eastAsia"/>
              </w:rPr>
              <w:t>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2021年4月13日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b/>
                <w:bCs/>
              </w:rPr>
              <w:t>遵规守法，预防污染；高效低耗，环保作业</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ascii="宋体" w:hAnsi="宋体"/>
                <w:sz w:val="18"/>
                <w:szCs w:val="18"/>
              </w:rPr>
              <w:t>物业管理部</w:t>
            </w:r>
            <w:r>
              <w:rPr>
                <w:rFonts w:hint="eastAsia"/>
              </w:rPr>
              <w:t>—</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生产、生活废弃物分类收集处理率100%</w:t>
                  </w:r>
                </w:p>
              </w:tc>
              <w:tc>
                <w:tcPr>
                  <w:tcW w:w="3136" w:type="dxa"/>
                  <w:shd w:val="clear" w:color="auto" w:fill="auto"/>
                  <w:vAlign w:val="center"/>
                </w:tcPr>
                <w:p>
                  <w:pPr>
                    <w:shd w:val="clear" w:color="auto" w:fill="EBF1DE" w:themeFill="accent3" w:themeFillTint="32"/>
                    <w:rPr>
                      <w:lang w:val="en-GB"/>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Arial" w:hAnsi="宋体" w:cs="Arial"/>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火灾事故为0</w:t>
                  </w:r>
                </w:p>
              </w:tc>
              <w:tc>
                <w:tcPr>
                  <w:tcW w:w="3136" w:type="dxa"/>
                  <w:shd w:val="clear" w:color="auto" w:fill="auto"/>
                  <w:vAlign w:val="center"/>
                </w:tcPr>
                <w:p>
                  <w:pPr>
                    <w:shd w:val="clear" w:color="auto" w:fill="EBF1DE" w:themeFill="accent3" w:themeFillTint="32"/>
                    <w:rPr>
                      <w:rFonts w:ascii="宋体" w:hAnsi="宋体"/>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环境扰民投诉为0</w:t>
                  </w:r>
                </w:p>
              </w:tc>
              <w:tc>
                <w:tcPr>
                  <w:tcW w:w="3136" w:type="dxa"/>
                  <w:shd w:val="clear" w:color="auto" w:fill="auto"/>
                  <w:vAlign w:val="center"/>
                </w:tcPr>
                <w:p>
                  <w:pPr>
                    <w:shd w:val="clear" w:color="auto" w:fill="EBF1DE" w:themeFill="accent3" w:themeFillTint="32"/>
                    <w:rPr>
                      <w:rFonts w:ascii="宋体" w:hAnsi="宋体"/>
                    </w:rPr>
                  </w:pPr>
                  <w:r>
                    <w:rPr>
                      <w:rFonts w:hint="eastAsia" w:cs="Times New Roman"/>
                      <w:color w:val="000000"/>
                      <w:szCs w:val="18"/>
                      <w:lang w:val="en-US" w:eastAsia="zh-CN"/>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highlight w:val="none"/>
              </w:rPr>
              <w:t>平方米；生产车间个；库房个；实验室</w:t>
            </w:r>
            <w:r>
              <w:rPr>
                <w:rFonts w:hint="eastAsia"/>
              </w:rPr>
              <w:t>个；</w:t>
            </w:r>
          </w:p>
          <w:p>
            <w:pPr>
              <w:shd w:val="clear" w:color="auto" w:fill="EBF1DE" w:themeFill="accent3" w:themeFillTint="32"/>
              <w:rPr>
                <w:u w:val="single"/>
              </w:rPr>
            </w:pPr>
            <w:r>
              <w:rPr>
                <w:rFonts w:hint="eastAsia"/>
              </w:rPr>
              <w:t>主要生产设备有：</w:t>
            </w:r>
            <w:r>
              <w:rPr>
                <w:rFonts w:hint="eastAsia"/>
                <w:highlight w:val="yellow"/>
                <w:u w:val="single"/>
                <w:lang w:val="en-US" w:eastAsia="zh-CN"/>
              </w:rPr>
              <w:t>清洁工具、电脑、打印机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2021年4月25日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2021年3月20-21日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yellow"/>
              </w:rPr>
              <w:t>在</w:t>
            </w:r>
            <w:r>
              <w:rPr>
                <w:rFonts w:hint="eastAsia"/>
                <w:highlight w:val="yellow"/>
                <w:lang w:val="en-US" w:eastAsia="zh-CN"/>
              </w:rPr>
              <w:t>2021年4月13日</w:t>
            </w:r>
            <w:r>
              <w:rPr>
                <w:rFonts w:hint="eastAsia"/>
                <w:highlight w:val="yellow"/>
              </w:rPr>
              <w:t>对</w:t>
            </w:r>
            <w:r>
              <w:rPr>
                <w:rFonts w:hint="eastAsia"/>
              </w:rPr>
              <w:t>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□建立机制 </w:t>
            </w:r>
            <w:r>
              <w:rPr>
                <w:rFonts w:hint="eastAsia"/>
                <w:lang w:eastAsia="zh-CN"/>
              </w:rPr>
              <w:t>☑</w:t>
            </w:r>
            <w:r>
              <w:rPr>
                <w:rFonts w:hint="eastAsia"/>
              </w:rPr>
              <w:t>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u w:val="single"/>
              </w:rPr>
            </w:pPr>
            <w:r>
              <w:rPr>
                <w:rFonts w:hint="eastAsia"/>
              </w:rPr>
              <w:t>最高管理者制定了文件化的职业健康安全管理体系方</w:t>
            </w:r>
            <w:r>
              <w:rPr>
                <w:rFonts w:hint="eastAsia" w:ascii="Times New Roman" w:hAnsi="Times New Roman" w:eastAsia="宋体" w:cs="Times New Roman"/>
              </w:rPr>
              <w:t>针：</w:t>
            </w:r>
            <w:r>
              <w:rPr>
                <w:rFonts w:hint="eastAsia" w:ascii="Times New Roman" w:hAnsi="Times New Roman" w:eastAsia="宋体" w:cs="Times New Roman"/>
                <w:u w:val="single"/>
              </w:rPr>
              <w:t xml:space="preserve">安全第一，预防为主；健康向上，共建和谐         </w:t>
            </w:r>
          </w:p>
          <w:p>
            <w:pPr>
              <w:rPr>
                <w:lang w:val="en-GB"/>
              </w:rPr>
            </w:pPr>
            <w:r>
              <w:rPr>
                <w:rFonts w:hint="eastAsia"/>
                <w:u w:val="none"/>
              </w:rPr>
              <w:t>职业健康安全</w:t>
            </w:r>
            <w:r>
              <w:rPr>
                <w:rFonts w:hint="eastAsia"/>
                <w:u w:val="none"/>
                <w:lang w:val="en-GB"/>
              </w:rPr>
              <w:t>方</w:t>
            </w:r>
            <w:r>
              <w:rPr>
                <w:rFonts w:hint="eastAsia"/>
                <w:lang w:val="en-GB"/>
              </w:rPr>
              <w:t>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r>
              <w:rPr>
                <w:rFonts w:hint="eastAsia"/>
              </w:rPr>
              <w:t>—</w:t>
            </w:r>
            <w:r>
              <w:rPr>
                <w:rFonts w:hint="eastAsia"/>
                <w:lang w:val="en-US" w:eastAsia="zh-CN"/>
              </w:rPr>
              <w:t>物业管理部</w:t>
            </w:r>
          </w:p>
          <w:p>
            <w:r>
              <w:rPr>
                <w:rFonts w:hint="eastAsia"/>
              </w:rPr>
              <w:t>安全的主管部门是—</w:t>
            </w:r>
            <w:r>
              <w:rPr>
                <w:rFonts w:hint="eastAsia"/>
                <w:lang w:val="en-US" w:eastAsia="zh-CN"/>
              </w:rPr>
              <w:t>行政部</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李欣瑶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生产过程</w:t>
                  </w:r>
                </w:p>
              </w:tc>
              <w:tc>
                <w:tcPr>
                  <w:tcW w:w="3965" w:type="dxa"/>
                </w:tcPr>
                <w:p>
                  <w:pPr>
                    <w:rPr>
                      <w:rFonts w:hint="default" w:eastAsia="宋体"/>
                      <w:lang w:val="en-US" w:eastAsia="zh-CN"/>
                    </w:rPr>
                  </w:pPr>
                  <w:r>
                    <w:rPr>
                      <w:rFonts w:hint="eastAsia"/>
                      <w:lang w:val="en-US" w:eastAsia="zh-CN"/>
                    </w:rPr>
                    <w:t>制定安全操作规程、安全措施并严格执行</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lang w:eastAsia="zh-CN"/>
              </w:rPr>
              <w:t>□</w:t>
            </w:r>
            <w:r>
              <w:rPr>
                <w:rFonts w:hint="eastAsia"/>
              </w:rPr>
              <w:t xml:space="preserve">除尘设备 □漏电保护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619"/>
              <w:gridCol w:w="115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2619" w:type="dxa"/>
                  <w:shd w:val="clear" w:color="auto" w:fill="auto"/>
                </w:tcPr>
                <w:p>
                  <w:pPr>
                    <w:rPr>
                      <w:rFonts w:ascii="宋体" w:hAnsi="宋体"/>
                    </w:rPr>
                  </w:pPr>
                  <w:r>
                    <w:rPr>
                      <w:rFonts w:hint="eastAsia" w:ascii="宋体" w:hAnsi="宋体"/>
                    </w:rPr>
                    <w:t>控制措施</w:t>
                  </w:r>
                </w:p>
              </w:tc>
              <w:tc>
                <w:tcPr>
                  <w:tcW w:w="1155" w:type="dxa"/>
                  <w:shd w:val="clear" w:color="auto" w:fill="auto"/>
                </w:tcPr>
                <w:p>
                  <w:pPr>
                    <w:rPr>
                      <w:rFonts w:ascii="宋体" w:hAnsi="宋体"/>
                    </w:rPr>
                  </w:pPr>
                  <w:r>
                    <w:rPr>
                      <w:rFonts w:hint="eastAsia" w:ascii="宋体" w:hAnsi="宋体"/>
                    </w:rPr>
                    <w:t>责任部门</w:t>
                  </w:r>
                </w:p>
              </w:tc>
              <w:tc>
                <w:tcPr>
                  <w:tcW w:w="2486"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重大安全事故和伤亡事故为0</w:t>
                  </w:r>
                </w:p>
              </w:tc>
              <w:tc>
                <w:tcPr>
                  <w:tcW w:w="2619" w:type="dxa"/>
                  <w:shd w:val="clear" w:color="auto" w:fill="auto"/>
                  <w:vAlign w:val="top"/>
                </w:tcPr>
                <w:p>
                  <w:pPr>
                    <w:widowControl/>
                    <w:spacing w:before="40"/>
                    <w:jc w:val="left"/>
                    <w:rPr>
                      <w:rFonts w:hint="default" w:eastAsia="宋体"/>
                      <w:lang w:val="en-US" w:eastAsia="zh-CN"/>
                    </w:rPr>
                  </w:pPr>
                  <w:r>
                    <w:rPr>
                      <w:rFonts w:hint="eastAsia" w:ascii="宋体" w:hAnsi="宋体"/>
                      <w:lang w:val="en-US" w:eastAsia="zh-CN"/>
                    </w:rPr>
                    <w:t>安全管理方案</w:t>
                  </w:r>
                </w:p>
              </w:tc>
              <w:tc>
                <w:tcPr>
                  <w:tcW w:w="1155" w:type="dxa"/>
                  <w:shd w:val="clear" w:color="auto" w:fill="auto"/>
                  <w:vAlign w:val="top"/>
                </w:tcPr>
                <w:p>
                  <w:pPr>
                    <w:widowControl/>
                    <w:spacing w:before="40"/>
                    <w:jc w:val="left"/>
                    <w:rPr>
                      <w:rFonts w:hint="eastAsia" w:eastAsia="宋体"/>
                      <w:lang w:val="en-GB" w:eastAsia="zh-CN"/>
                    </w:rPr>
                  </w:pPr>
                  <w:r>
                    <w:rPr>
                      <w:rFonts w:hint="eastAsia" w:ascii="Times New Roman" w:hAnsi="Times New Roman" w:cs="Times New Roman"/>
                      <w:color w:val="000000"/>
                      <w:szCs w:val="18"/>
                      <w:lang w:val="en-US" w:eastAsia="zh-CN"/>
                    </w:rPr>
                    <w:t>行政部</w:t>
                  </w:r>
                </w:p>
              </w:tc>
              <w:tc>
                <w:tcPr>
                  <w:tcW w:w="2486" w:type="dxa"/>
                  <w:shd w:val="clear" w:color="auto" w:fill="auto"/>
                  <w:vAlign w:val="top"/>
                </w:tcPr>
                <w:p>
                  <w:pPr>
                    <w:widowControl/>
                    <w:spacing w:before="40"/>
                    <w:jc w:val="left"/>
                    <w:rPr>
                      <w:rFonts w:ascii="宋体" w:hAnsi="宋体"/>
                      <w:lang w:val="en-GB"/>
                    </w:rPr>
                  </w:pPr>
                  <w:r>
                    <w:rPr>
                      <w:rFonts w:hint="eastAsia" w:ascii="Times New Roman" w:hAnsi="Times New Roman"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火灾事故为0</w:t>
                  </w:r>
                </w:p>
              </w:tc>
              <w:tc>
                <w:tcPr>
                  <w:tcW w:w="2619" w:type="dxa"/>
                  <w:shd w:val="clear" w:color="auto" w:fill="auto"/>
                  <w:vAlign w:val="top"/>
                </w:tcPr>
                <w:p>
                  <w:pPr>
                    <w:widowControl/>
                    <w:spacing w:before="40"/>
                    <w:jc w:val="left"/>
                    <w:rPr>
                      <w:rFonts w:hint="default" w:ascii="宋体" w:hAnsi="宋体" w:eastAsia="宋体"/>
                      <w:lang w:val="en-US" w:eastAsia="zh-CN"/>
                    </w:rPr>
                  </w:pPr>
                  <w:r>
                    <w:rPr>
                      <w:rFonts w:hint="eastAsia" w:ascii="Times New Roman" w:hAnsi="Times New Roman" w:cs="Times New Roman"/>
                      <w:color w:val="000000"/>
                      <w:szCs w:val="18"/>
                      <w:lang w:val="en-US" w:eastAsia="zh-CN"/>
                    </w:rPr>
                    <w:t>火灾预防、火灾应急预案</w:t>
                  </w:r>
                </w:p>
              </w:tc>
              <w:tc>
                <w:tcPr>
                  <w:tcW w:w="1155" w:type="dxa"/>
                  <w:shd w:val="clear" w:color="auto" w:fill="auto"/>
                  <w:vAlign w:val="top"/>
                </w:tcPr>
                <w:p>
                  <w:pPr>
                    <w:widowControl/>
                    <w:spacing w:before="40"/>
                    <w:jc w:val="left"/>
                    <w:rPr>
                      <w:rFonts w:ascii="宋体" w:hAnsi="宋体"/>
                    </w:rPr>
                  </w:pPr>
                  <w:r>
                    <w:rPr>
                      <w:rFonts w:hint="eastAsia" w:ascii="Times New Roman" w:hAnsi="Times New Roman" w:cs="Times New Roman"/>
                      <w:color w:val="000000"/>
                      <w:szCs w:val="18"/>
                      <w:lang w:val="en-US" w:eastAsia="zh-CN"/>
                    </w:rPr>
                    <w:t>行政部</w:t>
                  </w:r>
                </w:p>
              </w:tc>
              <w:tc>
                <w:tcPr>
                  <w:tcW w:w="2486" w:type="dxa"/>
                  <w:shd w:val="clear" w:color="auto" w:fill="auto"/>
                  <w:vAlign w:val="top"/>
                </w:tcPr>
                <w:p>
                  <w:pPr>
                    <w:widowControl/>
                    <w:spacing w:before="40"/>
                    <w:jc w:val="left"/>
                    <w:rPr>
                      <w:rFonts w:ascii="宋体" w:hAnsi="宋体"/>
                    </w:rPr>
                  </w:pPr>
                  <w:r>
                    <w:rPr>
                      <w:rFonts w:hint="eastAsia" w:ascii="Times New Roman" w:hAnsi="Times New Roman"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职业病发生率为0</w:t>
                  </w:r>
                </w:p>
              </w:tc>
              <w:tc>
                <w:tcPr>
                  <w:tcW w:w="2619" w:type="dxa"/>
                  <w:shd w:val="clear" w:color="auto" w:fill="auto"/>
                  <w:vAlign w:val="center"/>
                </w:tcPr>
                <w:p>
                  <w:pPr>
                    <w:rPr>
                      <w:rFonts w:hint="default" w:ascii="宋体" w:hAnsi="宋体" w:eastAsia="宋体"/>
                      <w:lang w:val="en-US" w:eastAsia="zh-CN"/>
                    </w:rPr>
                  </w:pPr>
                  <w:r>
                    <w:rPr>
                      <w:rFonts w:hint="eastAsia" w:ascii="Times New Roman" w:hAnsi="Times New Roman" w:cs="Times New Roman"/>
                      <w:color w:val="000000"/>
                      <w:szCs w:val="18"/>
                      <w:lang w:val="en-US" w:eastAsia="zh-CN"/>
                    </w:rPr>
                    <w:t>职业病预防方案</w:t>
                  </w:r>
                </w:p>
              </w:tc>
              <w:tc>
                <w:tcPr>
                  <w:tcW w:w="1155" w:type="dxa"/>
                  <w:shd w:val="clear" w:color="auto" w:fill="auto"/>
                  <w:vAlign w:val="center"/>
                </w:tcPr>
                <w:p>
                  <w:pPr>
                    <w:rPr>
                      <w:rFonts w:ascii="宋体" w:hAnsi="宋体"/>
                    </w:rPr>
                  </w:pPr>
                  <w:r>
                    <w:rPr>
                      <w:rFonts w:hint="eastAsia" w:ascii="Times New Roman" w:hAnsi="Times New Roman" w:cs="Times New Roman"/>
                      <w:color w:val="000000"/>
                      <w:szCs w:val="18"/>
                      <w:lang w:val="en-US" w:eastAsia="zh-CN"/>
                    </w:rPr>
                    <w:t>行政部</w:t>
                  </w:r>
                </w:p>
              </w:tc>
              <w:tc>
                <w:tcPr>
                  <w:tcW w:w="2486" w:type="dxa"/>
                  <w:shd w:val="clear" w:color="auto" w:fill="auto"/>
                  <w:vAlign w:val="center"/>
                </w:tcPr>
                <w:p>
                  <w:pPr>
                    <w:jc w:val="both"/>
                    <w:rPr>
                      <w:rFonts w:hint="eastAsia" w:ascii="宋体" w:hAnsi="宋体" w:eastAsia="宋体"/>
                      <w:lang w:val="en-US" w:eastAsia="zh-CN"/>
                    </w:rPr>
                  </w:pPr>
                  <w:r>
                    <w:rPr>
                      <w:rFonts w:hint="eastAsia" w:ascii="Times New Roman" w:hAnsi="Times New Roman" w:eastAsia="宋体" w:cs="Times New Roman"/>
                      <w:color w:val="000000"/>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2619" w:type="dxa"/>
                  <w:shd w:val="clear" w:color="auto" w:fill="auto"/>
                  <w:vAlign w:val="center"/>
                </w:tcPr>
                <w:p>
                  <w:pPr>
                    <w:rPr>
                      <w:rFonts w:ascii="宋体" w:hAnsi="宋体"/>
                    </w:rPr>
                  </w:pPr>
                </w:p>
              </w:tc>
              <w:tc>
                <w:tcPr>
                  <w:tcW w:w="1155" w:type="dxa"/>
                  <w:shd w:val="clear" w:color="auto" w:fill="auto"/>
                  <w:vAlign w:val="center"/>
                </w:tcPr>
                <w:p>
                  <w:pPr>
                    <w:rPr>
                      <w:rFonts w:ascii="宋体" w:hAnsi="宋体"/>
                    </w:rPr>
                  </w:pPr>
                </w:p>
              </w:tc>
              <w:tc>
                <w:tcPr>
                  <w:tcW w:w="2486"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w:t>
            </w:r>
            <w:r>
              <w:rPr>
                <w:rFonts w:hint="eastAsia"/>
                <w:highlight w:val="yellow"/>
              </w:rPr>
              <w:t>面积</w:t>
            </w:r>
            <w:r>
              <w:rPr>
                <w:rFonts w:hint="eastAsia"/>
                <w:highlight w:val="yellow"/>
                <w:u w:val="single"/>
              </w:rPr>
              <w:t xml:space="preserve">  </w:t>
            </w:r>
            <w:r>
              <w:rPr>
                <w:rFonts w:hint="eastAsia"/>
                <w:highlight w:val="yellow"/>
                <w:u w:val="single"/>
                <w:lang w:val="en-US" w:eastAsia="zh-CN"/>
              </w:rPr>
              <w:t>100</w:t>
            </w:r>
            <w:r>
              <w:rPr>
                <w:rFonts w:hint="eastAsia"/>
                <w:highlight w:val="yellow"/>
                <w:u w:val="single"/>
              </w:rPr>
              <w:t xml:space="preserve">   </w:t>
            </w:r>
            <w:r>
              <w:rPr>
                <w:rFonts w:hint="eastAsia"/>
                <w:highlight w:val="yellow"/>
              </w:rPr>
              <w:t>平方</w:t>
            </w:r>
            <w:r>
              <w:rPr>
                <w:rFonts w:hint="eastAsia"/>
              </w:rPr>
              <w:t>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highlight w:val="yellow"/>
                <w:u w:val="single"/>
              </w:rPr>
              <w:t xml:space="preserve"> </w:t>
            </w:r>
            <w:r>
              <w:rPr>
                <w:rFonts w:hint="eastAsia"/>
                <w:color w:val="000000"/>
                <w:highlight w:val="yellow"/>
                <w:u w:val="single"/>
                <w:lang w:val="en-US" w:eastAsia="zh-CN"/>
              </w:rPr>
              <w:t>电脑、对讲、监控装置</w:t>
            </w:r>
            <w:r>
              <w:rPr>
                <w:rFonts w:hint="eastAsia"/>
                <w:color w:val="000000"/>
                <w:highlight w:val="none"/>
                <w:u w:val="single"/>
                <w:lang w:val="en-US" w:eastAsia="zh-CN"/>
              </w:rPr>
              <w:t>等</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观光车</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14</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none"/>
                <w:lang w:val="en-US" w:eastAsia="zh-CN"/>
              </w:rPr>
              <w:t>2021年3月20-21日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2021年4月13日</w:t>
            </w:r>
            <w:bookmarkStart w:id="34" w:name="_GoBack"/>
            <w:bookmarkEnd w:id="34"/>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724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2021-09-16T03:59:48Z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