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506"/>
        <w:gridCol w:w="506"/>
        <w:gridCol w:w="506"/>
        <w:gridCol w:w="506"/>
        <w:gridCol w:w="506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8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道达电动车制造成都有限公司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Q：22.01.00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E：22.01.00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Q：22.01.00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O：22.01.00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E：22.01.00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  平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5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工艺流程：</w:t>
            </w:r>
            <w:r>
              <w:rPr>
                <w:rFonts w:hint="eastAsia"/>
                <w:sz w:val="21"/>
                <w:szCs w:val="21"/>
              </w:rPr>
              <w:t>机械加工→表面处理（静电喷涂）→底盘装配→车壳装配→内饰件装配→调试→入库→出厂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机加、装配、调试过程存在风险有尺寸、装配紧固度、性能等不合格，采取拟定作业指导书和检验标准进行控制。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生产过程中存在火灾、触电伤害、机</w:t>
            </w:r>
            <w:bookmarkStart w:id="9" w:name="_GoBack"/>
            <w:bookmarkEnd w:id="9"/>
            <w:r>
              <w:rPr>
                <w:rFonts w:hint="eastAsia"/>
                <w:sz w:val="21"/>
                <w:szCs w:val="21"/>
              </w:rPr>
              <w:t>械伤害风险；采取管理方案和应急预案进行控制；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重要环境因素：</w:t>
            </w:r>
            <w:r>
              <w:rPr>
                <w:rFonts w:hint="eastAsia" w:eastAsia="宋体"/>
                <w:sz w:val="21"/>
                <w:szCs w:val="21"/>
              </w:rPr>
              <w:t>固废排放，潜在火灾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废水，噪声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40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控制措施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</w:rPr>
              <w:t>按运行程序控制、按目标指标管理方案控制、应急预案控制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不可接受风险：触电、火灾、机械伤害</w:t>
            </w:r>
          </w:p>
          <w:p>
            <w:pPr>
              <w:spacing w:line="4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eastAsia="宋体"/>
                <w:sz w:val="21"/>
                <w:szCs w:val="21"/>
              </w:rPr>
              <w:t>按运行程序控制、按目标指标管理方案控制、应急预案控制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中华人民共和国产品质量法、中华人民共和国水污染防治法、GB24727-2009非公路旅游观光车安全使用规范、GB/T21268-2014非公路用旅游观光车通用技术条件、GB28709—2012非公路用旅游观光车座椅安全带及其固定器、 GB/T24914-2010标准名称：非公路旅游观光车用铅酸蓄电池.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有型式试验要求，检验项目有转向力、行驶速度、制动距离、续驶里程、满载最大爬坡度等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104775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E52148"/>
    <w:rsid w:val="698106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2021-09-16T06:18:41Z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