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0018-2020-QEO-2021</w:t>
      </w:r>
      <w:bookmarkEnd w:id="0"/>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河北卓汉通信工程有限公司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河北卓汉通信工程有限公司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河北省保定市莲池区七一东路1999号未来石3号楼1707室</w:t>
            </w:r>
            <w:bookmarkEnd w:id="6"/>
          </w:p>
        </w:tc>
        <w:tc>
          <w:tcPr>
            <w:tcW w:w="1242" w:type="dxa"/>
            <w:vMerge w:val="restart"/>
            <w:vAlign w:val="center"/>
          </w:tcPr>
          <w:p>
            <w:r>
              <w:rPr>
                <w:rFonts w:hint="eastAsia"/>
              </w:rPr>
              <w:t>邮编</w:t>
            </w:r>
          </w:p>
        </w:tc>
        <w:tc>
          <w:tcPr>
            <w:tcW w:w="1771" w:type="dxa"/>
          </w:tcPr>
          <w:p>
            <w:bookmarkStart w:id="7" w:name="注册邮编"/>
            <w:r>
              <w:t>071028</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河北省保定市莲池区七一东路1999号未来石3号楼1707室</w:t>
            </w:r>
            <w:bookmarkEnd w:id="8"/>
          </w:p>
        </w:tc>
        <w:tc>
          <w:tcPr>
            <w:tcW w:w="1242" w:type="dxa"/>
            <w:vMerge w:val="continue"/>
            <w:vAlign w:val="center"/>
          </w:tcPr>
          <w:p/>
        </w:tc>
        <w:tc>
          <w:tcPr>
            <w:tcW w:w="1771" w:type="dxa"/>
          </w:tcPr>
          <w:p>
            <w:bookmarkStart w:id="9" w:name="办公邮编"/>
            <w:r>
              <w:t>071028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王洪涛</w:t>
            </w:r>
            <w:bookmarkEnd w:id="10"/>
          </w:p>
        </w:tc>
        <w:tc>
          <w:tcPr>
            <w:tcW w:w="1313" w:type="dxa"/>
            <w:vAlign w:val="center"/>
          </w:tcPr>
          <w:p>
            <w:r>
              <w:rPr>
                <w:rFonts w:hint="eastAsia"/>
              </w:rPr>
              <w:t>电话.</w:t>
            </w:r>
          </w:p>
        </w:tc>
        <w:tc>
          <w:tcPr>
            <w:tcW w:w="2180" w:type="dxa"/>
            <w:vAlign w:val="center"/>
          </w:tcPr>
          <w:p>
            <w:bookmarkStart w:id="11" w:name="联系人电话"/>
            <w:r>
              <w:t>13191655866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王洪涛</w:t>
            </w:r>
            <w:bookmarkEnd w:id="13"/>
          </w:p>
        </w:tc>
        <w:tc>
          <w:tcPr>
            <w:tcW w:w="1313" w:type="dxa"/>
            <w:vAlign w:val="center"/>
          </w:tcPr>
          <w:p>
            <w:r>
              <w:rPr>
                <w:rFonts w:hint="eastAsia"/>
              </w:rPr>
              <w:t>管理者代表</w:t>
            </w:r>
          </w:p>
        </w:tc>
        <w:tc>
          <w:tcPr>
            <w:tcW w:w="2180" w:type="dxa"/>
          </w:tcPr>
          <w:p>
            <w:bookmarkStart w:id="14" w:name="管理者代表"/>
            <w:r>
              <w:t>孙东峰</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ascii="Times New Roman" w:hAnsi="Times New Roman" w:cs="Times New Roman"/>
              </w:rPr>
            </w:pPr>
            <w:r>
              <w:rPr>
                <w:rFonts w:hint="eastAsia" w:ascii="Times New Roman" w:hAnsi="Times New Roman" w:cs="Times New Roman"/>
                <w:lang w:val="en-US" w:eastAsia="zh-CN"/>
              </w:rPr>
              <w:t>产品销售：</w:t>
            </w:r>
            <w:r>
              <w:rPr>
                <w:rFonts w:hint="eastAsia" w:ascii="Times New Roman" w:hAnsi="Times New Roman" w:cs="Times New Roman"/>
              </w:rPr>
              <w:t>业务洽谈——签订合同</w:t>
            </w:r>
            <w:r>
              <w:rPr>
                <w:rFonts w:hint="eastAsia" w:ascii="Times New Roman" w:hAnsi="Times New Roman" w:cs="Times New Roman"/>
                <w:lang w:val="en-US" w:eastAsia="zh-CN"/>
              </w:rPr>
              <w:t>/协议</w:t>
            </w:r>
            <w:r>
              <w:rPr>
                <w:rFonts w:hint="eastAsia" w:ascii="Times New Roman" w:hAnsi="Times New Roman" w:cs="Times New Roman"/>
              </w:rPr>
              <w:t>——按要求履约服务——顾客确认——结算</w:t>
            </w:r>
          </w:p>
          <w:p>
            <w:r>
              <w:rPr>
                <w:rFonts w:hint="eastAsia" w:ascii="Times New Roman" w:hAnsi="Times New Roman" w:cs="Times New Roman"/>
                <w:lang w:val="en-US" w:eastAsia="zh-CN"/>
              </w:rPr>
              <w:t>安防</w:t>
            </w:r>
            <w:r>
              <w:rPr>
                <w:rFonts w:hint="eastAsia" w:ascii="Times New Roman" w:hAnsi="Times New Roman" w:cs="Times New Roman"/>
              </w:rPr>
              <w:t>信息系统集成服务</w:t>
            </w:r>
            <w:r>
              <w:rPr>
                <w:rFonts w:hint="eastAsia" w:ascii="Times New Roman" w:hAnsi="Times New Roman" w:cs="Times New Roman"/>
                <w:lang w:eastAsia="zh-CN"/>
              </w:rPr>
              <w:t>：</w:t>
            </w:r>
            <w:r>
              <w:rPr>
                <w:rFonts w:hint="eastAsia" w:ascii="Times New Roman" w:hAnsi="Times New Roman" w:cs="Times New Roman"/>
              </w:rPr>
              <w:t>客户项目意向</w:t>
            </w:r>
            <w:r>
              <w:rPr>
                <w:rFonts w:hint="eastAsia" w:ascii="Times New Roman" w:hAnsi="Times New Roman" w:cs="Times New Roman"/>
                <w:lang w:eastAsia="zh-CN"/>
              </w:rPr>
              <w:t>—项目</w:t>
            </w:r>
            <w:r>
              <w:rPr>
                <w:rFonts w:hint="eastAsia" w:ascii="Times New Roman" w:hAnsi="Times New Roman" w:cs="Times New Roman"/>
              </w:rPr>
              <w:t>设计</w:t>
            </w:r>
            <w:r>
              <w:rPr>
                <w:rFonts w:hint="eastAsia" w:ascii="Times New Roman" w:hAnsi="Times New Roman" w:cs="Times New Roman"/>
                <w:lang w:eastAsia="zh-CN"/>
              </w:rPr>
              <w:t>（需要时）—制定方案—采购项目设备—综合布线—设备安装—系统测试—</w:t>
            </w:r>
            <w:r>
              <w:rPr>
                <w:rFonts w:hint="eastAsia" w:ascii="Times New Roman" w:hAnsi="Times New Roman" w:cs="Times New Roman"/>
              </w:rPr>
              <w:t>交付</w:t>
            </w:r>
            <w:r>
              <w:rPr>
                <w:rFonts w:hint="eastAsia" w:ascii="Times New Roman" w:hAnsi="Times New Roman" w:cs="Times New Roman"/>
                <w:lang w:eastAsia="zh-CN"/>
              </w:rPr>
              <w:t>使用</w:t>
            </w:r>
            <w:r>
              <w:rPr>
                <w:rFonts w:hint="eastAsia" w:ascii="Times New Roman" w:hAnsi="Times New Roman" w:cs="Times New Roman"/>
              </w:rPr>
              <w:t>—</w:t>
            </w:r>
            <w:r>
              <w:rPr>
                <w:rFonts w:hint="eastAsia" w:ascii="Times New Roman" w:hAnsi="Times New Roman" w:cs="Times New Roman"/>
                <w:lang w:eastAsia="zh-CN"/>
              </w:rPr>
              <w:t>售后</w:t>
            </w:r>
            <w:r>
              <w:rPr>
                <w:rFonts w:hint="eastAsia" w:ascii="Times New Roman" w:hAnsi="Times New Roman" w:cs="Times New Roman"/>
              </w:rPr>
              <w:t>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2021年09月17日 上午至2021年09月18日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河北省保定市莲池区七一东路1999号未来石3号楼1707室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b w:val="0"/>
                <w:bCs w:val="0"/>
                <w:sz w:val="21"/>
                <w:szCs w:val="21"/>
              </w:rPr>
            </w:pPr>
            <w:bookmarkStart w:id="29" w:name="审核范围"/>
            <w:r>
              <w:rPr>
                <w:b w:val="0"/>
                <w:bCs w:val="0"/>
                <w:sz w:val="21"/>
                <w:szCs w:val="21"/>
              </w:rPr>
              <w:t>Q：</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w:t>
            </w:r>
          </w:p>
          <w:p>
            <w:pPr>
              <w:rPr>
                <w:b w:val="0"/>
                <w:bCs w:val="0"/>
                <w:sz w:val="21"/>
                <w:szCs w:val="21"/>
              </w:rPr>
            </w:pPr>
            <w:r>
              <w:rPr>
                <w:b w:val="0"/>
                <w:bCs w:val="0"/>
                <w:sz w:val="21"/>
                <w:szCs w:val="21"/>
              </w:rPr>
              <w:t>E：</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信息系统集成服务，电子产品、通讯终端设备、计算机、软件及辅助设备的销售及其场所所涉及的环境管理活动</w:t>
            </w:r>
          </w:p>
          <w:p>
            <w:r>
              <w:rPr>
                <w:b w:val="0"/>
                <w:bCs w:val="0"/>
                <w:sz w:val="21"/>
                <w:szCs w:val="21"/>
              </w:rPr>
              <w:t>O：</w:t>
            </w:r>
            <w:r>
              <w:rPr>
                <w:rFonts w:hint="eastAsia"/>
                <w:b w:val="0"/>
                <w:bCs w:val="0"/>
                <w:sz w:val="21"/>
                <w:szCs w:val="21"/>
                <w:lang w:val="en-US" w:eastAsia="zh-CN"/>
              </w:rPr>
              <w:t>安防</w:t>
            </w:r>
            <w:r>
              <w:rPr>
                <w:b w:val="0"/>
                <w:bCs w:val="0"/>
                <w:sz w:val="21"/>
                <w:szCs w:val="21"/>
              </w:rPr>
              <w:t>信息系统集成服务，电子产品、通讯终端设备、计算机、软件及辅助设备的销售及其场所所涉及的职业健康安全管理活动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Q：29.12.00;33.02.02</w:t>
            </w:r>
          </w:p>
          <w:p>
            <w:r>
              <w:t>E：29.12.00;33.02.02</w:t>
            </w:r>
          </w:p>
          <w:p>
            <w:r>
              <w:t>O：29.12.00;33.02.02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t>201</w:t>
            </w:r>
            <w:r>
              <w:rPr>
                <w:rFonts w:hint="eastAsia"/>
                <w:lang w:val="en-US" w:eastAsia="zh-CN"/>
              </w:rPr>
              <w:t>9</w:t>
            </w:r>
            <w:r>
              <w:rPr>
                <w:rFonts w:hint="eastAsia" w:cs="宋体"/>
              </w:rPr>
              <w:t>年</w:t>
            </w:r>
            <w:r>
              <w:rPr>
                <w:rFonts w:hint="eastAsia" w:cs="宋体"/>
                <w:lang w:val="en-US" w:eastAsia="zh-CN"/>
              </w:rPr>
              <w:t>7</w:t>
            </w:r>
            <w:r>
              <w:rPr>
                <w:rFonts w:hint="eastAsia" w:cs="宋体"/>
              </w:rPr>
              <w:t>月</w:t>
            </w:r>
            <w:r>
              <w:t>1</w:t>
            </w:r>
            <w:r>
              <w:rPr>
                <w:rFonts w:hint="eastAsia" w:cs="宋体"/>
              </w:rPr>
              <w:t>日</w:t>
            </w:r>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lang w:val="en-US" w:eastAsia="zh-CN"/>
              </w:rPr>
            </w:pPr>
            <w:r>
              <w:rPr>
                <w:rFonts w:hint="eastAsia"/>
                <w:lang w:val="en-US" w:eastAsia="zh-CN"/>
              </w:rPr>
              <w:t>2020.3.26（远程初审）</w:t>
            </w:r>
          </w:p>
          <w:p>
            <w:pPr>
              <w:pStyle w:val="2"/>
              <w:rPr>
                <w:rFonts w:hint="default" w:eastAsia="宋体"/>
                <w:lang w:val="en-US" w:eastAsia="zh-CN"/>
              </w:rPr>
            </w:pPr>
            <w:r>
              <w:rPr>
                <w:rFonts w:hint="eastAsia"/>
                <w:lang w:val="en-US" w:eastAsia="zh-CN"/>
              </w:rPr>
              <w:t>2021.1.5（补充审核）</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4</w:t>
            </w:r>
            <w:r>
              <w:rPr>
                <w:rFonts w:hint="eastAsia"/>
              </w:rPr>
              <w:t>月</w:t>
            </w:r>
            <w:r>
              <w:rPr>
                <w:rFonts w:hint="eastAsia"/>
                <w:lang w:val="en-US" w:eastAsia="zh-CN"/>
              </w:rPr>
              <w:t>2</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98"/>
        <w:gridCol w:w="1754"/>
        <w:gridCol w:w="625"/>
        <w:gridCol w:w="2500"/>
        <w:gridCol w:w="18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19"/>
              <w:spacing w:before="0" w:after="0"/>
              <w:rPr>
                <w:rFonts w:eastAsia="黑体" w:cs="Arial"/>
                <w:sz w:val="21"/>
                <w:szCs w:val="21"/>
                <w:lang w:eastAsia="zh-CN"/>
              </w:rPr>
            </w:pPr>
            <w:r>
              <w:rPr>
                <w:rFonts w:eastAsia="黑体" w:cs="Arial"/>
                <w:sz w:val="21"/>
                <w:szCs w:val="21"/>
                <w:lang w:eastAsia="zh-CN"/>
              </w:rPr>
              <w:t>场所编号</w:t>
            </w:r>
          </w:p>
          <w:p>
            <w:pPr>
              <w:pStyle w:val="19"/>
              <w:spacing w:before="0" w:after="0"/>
              <w:rPr>
                <w:rFonts w:eastAsia="黑体" w:cs="Arial"/>
                <w:bCs/>
                <w:sz w:val="21"/>
                <w:szCs w:val="21"/>
                <w:lang w:val="en-US" w:eastAsia="zh-CN"/>
              </w:rPr>
            </w:pPr>
          </w:p>
        </w:tc>
        <w:tc>
          <w:tcPr>
            <w:tcW w:w="1898"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754"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经营场所的地址</w:t>
            </w:r>
          </w:p>
        </w:tc>
        <w:tc>
          <w:tcPr>
            <w:tcW w:w="625"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员工人数</w:t>
            </w:r>
          </w:p>
        </w:tc>
        <w:tc>
          <w:tcPr>
            <w:tcW w:w="2500" w:type="dxa"/>
            <w:shd w:val="clear" w:color="auto" w:fill="F3F3F3"/>
            <w:tcMar>
              <w:left w:w="57" w:type="dxa"/>
              <w:right w:w="57" w:type="dxa"/>
            </w:tcMar>
          </w:tcPr>
          <w:p>
            <w:pPr>
              <w:pStyle w:val="19"/>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19"/>
              <w:spacing w:before="0" w:after="0"/>
              <w:jc w:val="left"/>
              <w:rPr>
                <w:rFonts w:eastAsia="黑体" w:cs="Arial"/>
                <w:sz w:val="21"/>
                <w:szCs w:val="21"/>
                <w:lang w:val="en-US" w:eastAsia="zh-CN"/>
              </w:rPr>
            </w:pPr>
          </w:p>
        </w:tc>
        <w:tc>
          <w:tcPr>
            <w:tcW w:w="1800" w:type="dxa"/>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19"/>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1898" w:type="dxa"/>
          </w:tcPr>
          <w:p>
            <w:pPr>
              <w:spacing w:before="40" w:after="40"/>
              <w:rPr>
                <w:rFonts w:hint="eastAsia" w:eastAsia="宋体"/>
                <w:szCs w:val="21"/>
                <w:lang w:val="en-US" w:eastAsia="zh-CN"/>
              </w:rPr>
            </w:pPr>
            <w:r>
              <w:rPr>
                <w:sz w:val="21"/>
                <w:szCs w:val="21"/>
              </w:rPr>
              <w:t>河北卓汉通信工程有限公司</w:t>
            </w:r>
            <w:r>
              <w:rPr>
                <w:rFonts w:hint="eastAsia" w:eastAsia="宋体" w:cs="Times New Roman"/>
                <w:b w:val="0"/>
                <w:bCs w:val="0"/>
                <w:sz w:val="21"/>
                <w:szCs w:val="21"/>
                <w:lang w:val="en-US" w:eastAsia="zh-CN"/>
              </w:rPr>
              <w:t>/</w:t>
            </w:r>
            <w:r>
              <w:t>河北省保定市莲池区七一东路1999号未来石3号楼1707室</w:t>
            </w:r>
          </w:p>
        </w:tc>
        <w:tc>
          <w:tcPr>
            <w:tcW w:w="1754" w:type="dxa"/>
          </w:tcPr>
          <w:p>
            <w:pPr>
              <w:spacing w:before="40" w:after="40"/>
              <w:rPr>
                <w:rFonts w:eastAsia="黑体"/>
                <w:szCs w:val="21"/>
                <w:lang w:val="de-DE" w:eastAsia="ja-JP"/>
              </w:rPr>
            </w:pPr>
            <w:r>
              <w:t>河北省保定市莲池区七一东路1999号未来石3号楼1707室</w:t>
            </w:r>
          </w:p>
        </w:tc>
        <w:tc>
          <w:tcPr>
            <w:tcW w:w="625" w:type="dxa"/>
            <w:vAlign w:val="center"/>
          </w:tcPr>
          <w:p>
            <w:pPr>
              <w:spacing w:before="40" w:after="40"/>
              <w:rPr>
                <w:rFonts w:hint="default" w:eastAsia="黑体"/>
                <w:szCs w:val="21"/>
                <w:lang w:val="en-US" w:eastAsia="zh-CN"/>
              </w:rPr>
            </w:pPr>
            <w:r>
              <w:rPr>
                <w:rFonts w:hint="eastAsia" w:eastAsia="黑体"/>
                <w:szCs w:val="21"/>
                <w:lang w:val="en-US" w:eastAsia="zh-CN"/>
              </w:rPr>
              <w:t>8</w:t>
            </w:r>
          </w:p>
        </w:tc>
        <w:tc>
          <w:tcPr>
            <w:tcW w:w="2500" w:type="dxa"/>
            <w:vAlign w:val="center"/>
          </w:tcPr>
          <w:p>
            <w:pPr>
              <w:pStyle w:val="20"/>
              <w:rPr>
                <w:rFonts w:eastAsia="黑体" w:cs="Arial"/>
                <w:sz w:val="21"/>
                <w:szCs w:val="21"/>
                <w:lang w:val="en-US" w:eastAsia="ja-JP"/>
              </w:rPr>
            </w:pPr>
            <w:r>
              <w:rPr>
                <w:rFonts w:hint="eastAsia"/>
                <w:b w:val="0"/>
                <w:bCs w:val="0"/>
                <w:sz w:val="21"/>
                <w:szCs w:val="21"/>
                <w:lang w:val="en-US" w:eastAsia="zh-CN"/>
              </w:rPr>
              <w:t>安防</w:t>
            </w:r>
            <w:r>
              <w:rPr>
                <w:b w:val="0"/>
                <w:bCs w:val="0"/>
                <w:sz w:val="21"/>
                <w:szCs w:val="21"/>
              </w:rPr>
              <w:t>信息系统集成服务，电子产品、通讯终端设备、计算机、软件及辅助设备的销售</w:t>
            </w:r>
          </w:p>
        </w:tc>
        <w:tc>
          <w:tcPr>
            <w:tcW w:w="1800"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1898" w:type="dxa"/>
            <w:vAlign w:val="center"/>
          </w:tcPr>
          <w:p>
            <w:pPr>
              <w:spacing w:before="40" w:after="40"/>
              <w:rPr>
                <w:rFonts w:hint="default" w:eastAsia="黑体"/>
                <w:szCs w:val="21"/>
                <w:lang w:val="en-US" w:eastAsia="zh-CN"/>
              </w:rPr>
            </w:pPr>
            <w:r>
              <w:rPr>
                <w:rFonts w:hint="eastAsia" w:eastAsia="黑体"/>
                <w:szCs w:val="21"/>
                <w:lang w:val="en-US" w:eastAsia="zh-CN"/>
              </w:rPr>
              <w:t>多场所（假日丽城）</w:t>
            </w:r>
          </w:p>
        </w:tc>
        <w:tc>
          <w:tcPr>
            <w:tcW w:w="1754" w:type="dxa"/>
            <w:vAlign w:val="center"/>
          </w:tcPr>
          <w:p>
            <w:pPr>
              <w:spacing w:before="40" w:after="40"/>
              <w:rPr>
                <w:rFonts w:hint="default" w:eastAsia="黑体"/>
                <w:szCs w:val="21"/>
                <w:lang w:val="en-US" w:eastAsia="zh-CN"/>
              </w:rPr>
            </w:pPr>
            <w:r>
              <w:rPr>
                <w:rFonts w:hint="eastAsia" w:eastAsia="黑体"/>
                <w:szCs w:val="21"/>
                <w:lang w:val="en-US" w:eastAsia="zh-CN"/>
              </w:rPr>
              <w:t>保定市竞秀区乐凯北大街西侧</w:t>
            </w:r>
          </w:p>
        </w:tc>
        <w:tc>
          <w:tcPr>
            <w:tcW w:w="625" w:type="dxa"/>
            <w:vAlign w:val="center"/>
          </w:tcPr>
          <w:p>
            <w:pPr>
              <w:spacing w:before="40" w:after="40"/>
              <w:rPr>
                <w:rFonts w:hint="eastAsia" w:eastAsia="黑体"/>
                <w:szCs w:val="21"/>
                <w:lang w:val="en-US" w:eastAsia="zh-CN"/>
              </w:rPr>
            </w:pPr>
            <w:r>
              <w:rPr>
                <w:rFonts w:hint="eastAsia" w:eastAsia="黑体"/>
                <w:szCs w:val="21"/>
                <w:lang w:val="en-US" w:eastAsia="zh-CN"/>
              </w:rPr>
              <w:t>2</w:t>
            </w:r>
          </w:p>
        </w:tc>
        <w:tc>
          <w:tcPr>
            <w:tcW w:w="2500" w:type="dxa"/>
            <w:vAlign w:val="center"/>
          </w:tcPr>
          <w:p>
            <w:pPr>
              <w:spacing w:before="40" w:after="40"/>
              <w:rPr>
                <w:rFonts w:eastAsia="黑体"/>
                <w:szCs w:val="21"/>
                <w:lang w:eastAsia="ja-JP"/>
              </w:rPr>
            </w:pPr>
            <w:r>
              <w:rPr>
                <w:rFonts w:hint="eastAsia"/>
                <w:b w:val="0"/>
                <w:bCs w:val="0"/>
                <w:sz w:val="21"/>
                <w:szCs w:val="21"/>
                <w:lang w:val="en-US" w:eastAsia="zh-CN"/>
              </w:rPr>
              <w:t>安防</w:t>
            </w:r>
            <w:r>
              <w:rPr>
                <w:b w:val="0"/>
                <w:bCs w:val="0"/>
                <w:sz w:val="21"/>
                <w:szCs w:val="21"/>
              </w:rPr>
              <w:t>信息系统集成服务</w:t>
            </w:r>
          </w:p>
        </w:tc>
        <w:tc>
          <w:tcPr>
            <w:tcW w:w="1800" w:type="dxa"/>
            <w:vAlign w:val="center"/>
          </w:tcPr>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GB/T19001-2016</w:t>
            </w:r>
          </w:p>
          <w:p>
            <w:pPr>
              <w:keepNext w:val="0"/>
              <w:keepLines w:val="0"/>
              <w:pageBreakBefore w:val="0"/>
              <w:kinsoku/>
              <w:wordWrap/>
              <w:overflowPunct/>
              <w:topLinePunct w:val="0"/>
              <w:autoSpaceDE/>
              <w:autoSpaceDN/>
              <w:bidi w:val="0"/>
              <w:adjustRightInd/>
              <w:spacing w:line="240" w:lineRule="exact"/>
              <w:rPr>
                <w:rFonts w:hint="eastAsia" w:ascii="Times New Roman" w:hAnsi="Times New Roman" w:eastAsia="Times New Roman" w:cs="Times New Roman"/>
                <w:kern w:val="2"/>
                <w:sz w:val="21"/>
                <w:szCs w:val="21"/>
                <w:lang w:val="en-GB" w:eastAsia="de-DE" w:bidi="ar-SA"/>
              </w:rPr>
            </w:pPr>
            <w:r>
              <w:rPr>
                <w:rFonts w:hint="eastAsia" w:ascii="Times New Roman" w:hAnsi="Times New Roman" w:eastAsia="Times New Roman" w:cs="Times New Roman"/>
                <w:kern w:val="2"/>
                <w:sz w:val="21"/>
                <w:szCs w:val="21"/>
                <w:lang w:val="en-GB" w:eastAsia="de-DE" w:bidi="ar-SA"/>
              </w:rPr>
              <w:t>GB/T24001-2016</w:t>
            </w:r>
          </w:p>
          <w:p>
            <w:pPr>
              <w:keepNext w:val="0"/>
              <w:keepLines w:val="0"/>
              <w:pageBreakBefore w:val="0"/>
              <w:kinsoku/>
              <w:wordWrap/>
              <w:overflowPunct/>
              <w:topLinePunct w:val="0"/>
              <w:autoSpaceDE/>
              <w:autoSpaceDN/>
              <w:bidi w:val="0"/>
              <w:adjustRightInd/>
              <w:spacing w:line="240" w:lineRule="exact"/>
              <w:rPr>
                <w:rFonts w:ascii="Times New Roman" w:hAnsi="Times New Roman" w:eastAsia="黑体" w:cs="Times New Roman"/>
                <w:kern w:val="2"/>
                <w:sz w:val="21"/>
                <w:szCs w:val="21"/>
                <w:lang w:val="en-US" w:eastAsia="ja-JP" w:bidi="ar-SA"/>
              </w:rPr>
            </w:pPr>
            <w:r>
              <w:rPr>
                <w:rFonts w:hint="eastAsia" w:ascii="Times New Roman" w:hAnsi="Times New Roman" w:eastAsia="Times New Roman" w:cs="Times New Roman"/>
                <w:kern w:val="2"/>
                <w:sz w:val="21"/>
                <w:szCs w:val="21"/>
                <w:lang w:val="en-GB" w:eastAsia="de-DE" w:bidi="ar-SA"/>
              </w:rPr>
              <w:t>GB/T45001-2020</w:t>
            </w:r>
          </w:p>
        </w:tc>
        <w:tc>
          <w:tcPr>
            <w:tcW w:w="668" w:type="dxa"/>
            <w:shd w:val="clear" w:color="auto" w:fill="FFFFFF"/>
            <w:vAlign w:val="top"/>
          </w:tcPr>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p>
                <w:pPr>
                  <w:rPr>
                    <w:rFonts w:eastAsia="黑体"/>
                    <w:szCs w:val="21"/>
                  </w:rPr>
                </w:pPr>
                <w:r>
                  <w:rPr>
                    <w:rFonts w:ascii="MS Gothic" w:hAnsi="MS Gothic" w:eastAsia="黑体" w:cs="Segoe UI Symbol"/>
                    <w:kern w:val="2"/>
                    <w:sz w:val="21"/>
                    <w:szCs w:val="21"/>
                    <w:lang w:val="en-US" w:eastAsia="zh-CN" w:bidi="ar-SA"/>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lang w:eastAsia="zh-CN"/>
              </w:rPr>
              <w:t>☑</w:t>
            </w:r>
            <w:r>
              <w:rPr>
                <w:rFonts w:hint="eastAsia"/>
              </w:rPr>
              <w:t>已按照审核计划完成全部审核工作</w:t>
            </w:r>
          </w:p>
        </w:tc>
        <w:tc>
          <w:tcPr>
            <w:tcW w:w="5761"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□审核计划有修改，但不会影响审核结论。</w:t>
            </w:r>
          </w:p>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修改的内容和原因是：</w:t>
            </w:r>
          </w:p>
        </w:tc>
        <w:tc>
          <w:tcPr>
            <w:tcW w:w="5761"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□未完成审核计划</w:t>
            </w:r>
          </w:p>
        </w:tc>
        <w:tc>
          <w:tcPr>
            <w:tcW w:w="5761" w:type="dxa"/>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未完成的内容和原因是:</w:t>
            </w:r>
          </w:p>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姓名</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组内</w:t>
            </w:r>
          </w:p>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身份</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性别</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审核员注册证书号</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t>吉洁</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t>组长</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t>女</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t>2019-N1QMS-3022240</w:t>
            </w:r>
          </w:p>
          <w:p>
            <w:pPr>
              <w:keepNext w:val="0"/>
              <w:keepLines w:val="0"/>
              <w:pageBreakBefore w:val="0"/>
              <w:widowControl w:val="0"/>
              <w:kinsoku/>
              <w:wordWrap/>
              <w:overflowPunct/>
              <w:topLinePunct w:val="0"/>
              <w:autoSpaceDE/>
              <w:autoSpaceDN/>
              <w:bidi w:val="0"/>
              <w:adjustRightInd/>
              <w:snapToGrid/>
              <w:spacing w:line="360" w:lineRule="exact"/>
              <w:textAlignment w:val="auto"/>
            </w:pPr>
            <w:r>
              <w:t>2020-N1EMS-3022240</w:t>
            </w:r>
          </w:p>
          <w:p>
            <w:pPr>
              <w:keepNext w:val="0"/>
              <w:keepLines w:val="0"/>
              <w:pageBreakBefore w:val="0"/>
              <w:widowControl w:val="0"/>
              <w:kinsoku/>
              <w:wordWrap/>
              <w:overflowPunct/>
              <w:topLinePunct w:val="0"/>
              <w:autoSpaceDE/>
              <w:autoSpaceDN/>
              <w:bidi w:val="0"/>
              <w:adjustRightInd/>
              <w:snapToGrid/>
              <w:spacing w:line="360" w:lineRule="exact"/>
              <w:textAlignment w:val="auto"/>
            </w:pPr>
            <w:r>
              <w:t>2020-N1OHSMS-3022240</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t>Q:29.12.00,33.02.02</w:t>
            </w:r>
          </w:p>
          <w:p>
            <w:pPr>
              <w:keepNext w:val="0"/>
              <w:keepLines w:val="0"/>
              <w:pageBreakBefore w:val="0"/>
              <w:widowControl w:val="0"/>
              <w:kinsoku/>
              <w:wordWrap/>
              <w:overflowPunct/>
              <w:topLinePunct w:val="0"/>
              <w:autoSpaceDE/>
              <w:autoSpaceDN/>
              <w:bidi w:val="0"/>
              <w:adjustRightInd/>
              <w:snapToGrid/>
              <w:spacing w:line="360" w:lineRule="exact"/>
              <w:textAlignment w:val="auto"/>
            </w:pPr>
            <w:r>
              <w:t>E:29.12.00,33.02.02</w:t>
            </w:r>
          </w:p>
          <w:p>
            <w:pPr>
              <w:keepNext w:val="0"/>
              <w:keepLines w:val="0"/>
              <w:pageBreakBefore w:val="0"/>
              <w:widowControl w:val="0"/>
              <w:kinsoku/>
              <w:wordWrap/>
              <w:overflowPunct/>
              <w:topLinePunct w:val="0"/>
              <w:autoSpaceDE/>
              <w:autoSpaceDN/>
              <w:bidi w:val="0"/>
              <w:adjustRightInd/>
              <w:snapToGrid/>
              <w:spacing w:line="360" w:lineRule="exact"/>
              <w:textAlignment w:val="auto"/>
            </w:pPr>
            <w:r>
              <w:t>O:29.12.00,33.02.02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t>张星</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t>组员</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t>女</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t>2020-N1QMS-1263722</w:t>
            </w:r>
          </w:p>
          <w:p>
            <w:pPr>
              <w:keepNext w:val="0"/>
              <w:keepLines w:val="0"/>
              <w:pageBreakBefore w:val="0"/>
              <w:widowControl w:val="0"/>
              <w:kinsoku/>
              <w:wordWrap/>
              <w:overflowPunct/>
              <w:topLinePunct w:val="0"/>
              <w:autoSpaceDE/>
              <w:autoSpaceDN/>
              <w:bidi w:val="0"/>
              <w:adjustRightInd/>
              <w:snapToGrid/>
              <w:spacing w:line="360" w:lineRule="exact"/>
              <w:textAlignment w:val="auto"/>
            </w:pPr>
            <w:r>
              <w:t>2020-N1EMS-1263722</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t>Q:29.12.00</w:t>
            </w:r>
          </w:p>
          <w:p>
            <w:pPr>
              <w:keepNext w:val="0"/>
              <w:keepLines w:val="0"/>
              <w:pageBreakBefore w:val="0"/>
              <w:widowControl w:val="0"/>
              <w:kinsoku/>
              <w:wordWrap/>
              <w:overflowPunct/>
              <w:topLinePunct w:val="0"/>
              <w:autoSpaceDE/>
              <w:autoSpaceDN/>
              <w:bidi w:val="0"/>
              <w:adjustRightInd/>
              <w:snapToGrid/>
              <w:spacing w:line="360" w:lineRule="exact"/>
              <w:textAlignment w:val="auto"/>
            </w:pPr>
            <w:r>
              <w:t>E:29.12.00,33.02.02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姓名</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作用</w:t>
            </w: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性别</w:t>
            </w: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工作单位</w:t>
            </w: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lang w:val="en-US" w:eastAsia="zh-CN"/>
              </w:rPr>
            </w:pPr>
            <w:r>
              <w:rPr>
                <w:rFonts w:hint="eastAsia"/>
                <w:lang w:val="en-US" w:eastAsia="zh-CN"/>
              </w:rPr>
              <w:t>/</w:t>
            </w:r>
          </w:p>
        </w:tc>
        <w:tc>
          <w:tcPr>
            <w:tcW w:w="108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711"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3870"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c>
          <w:tcPr>
            <w:tcW w:w="2179"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p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9ED3A3" w:themeFill="background1" w:themeFillShade="D8"/>
          </w:tcPr>
          <w:p>
            <w:r>
              <w:rPr>
                <w:rFonts w:hint="eastAsia"/>
              </w:rPr>
              <w:t>审核周期</w:t>
            </w:r>
          </w:p>
        </w:tc>
        <w:tc>
          <w:tcPr>
            <w:tcW w:w="8748" w:type="dxa"/>
            <w:shd w:val="clear" w:color="auto" w:fill="9ED3A3"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lang w:val="en-US"/>
              </w:rPr>
            </w:pPr>
            <w:r>
              <w:rPr>
                <w:rFonts w:hint="eastAsia" w:ascii="Times New Roman" w:hAnsi="Times New Roman" w:eastAsia="宋体" w:cs="Times New Roman"/>
                <w:lang w:val="en-US" w:eastAsia="zh-CN"/>
              </w:rPr>
              <w:t>初审远程审核开具的不符合项为办公室GB/T19001-2016标准的8.2.3条款、GB/T24001-2016标准的8.1条款、GB/T45001-2020标准的8.1.1条款，补充审核未开具不符合报告，本次审核未发现类似问题，采取的措施有效。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eastAsia="宋体"/>
                <w:lang w:eastAsia="zh-CN"/>
              </w:rPr>
              <w:drawing>
                <wp:anchor distT="0" distB="0" distL="114300" distR="114300" simplePos="0" relativeHeight="251659264" behindDoc="0" locked="0" layoutInCell="1" allowOverlap="1">
                  <wp:simplePos x="0" y="0"/>
                  <wp:positionH relativeFrom="column">
                    <wp:posOffset>355600</wp:posOffset>
                  </wp:positionH>
                  <wp:positionV relativeFrom="paragraph">
                    <wp:posOffset>205740</wp:posOffset>
                  </wp:positionV>
                  <wp:extent cx="922020" cy="443865"/>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922020" cy="44386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2021年9月18日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 xml:space="preserve">QMS体系建立以来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 xml:space="preserve">外部供方控制 </w:t>
            </w:r>
            <w:r>
              <w:rPr>
                <w:rFonts w:hint="eastAsia"/>
                <w:lang w:eastAsia="zh-CN"/>
              </w:rPr>
              <w:t>☑</w:t>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□生产/服务过程 □检验检测 </w:t>
            </w:r>
            <w:r>
              <w:rPr>
                <w:rFonts w:hint="eastAsia"/>
                <w:lang w:eastAsia="zh-CN"/>
              </w:rPr>
              <w:t>☑</w:t>
            </w:r>
            <w:r>
              <w:rPr>
                <w:rFonts w:hint="eastAsia"/>
              </w:rPr>
              <w:t>产品运输 □设备维修</w:t>
            </w:r>
          </w:p>
          <w:p>
            <w:pPr>
              <w:shd w:val="clear" w:color="auto" w:fill="C7DAF1" w:themeFill="text2" w:themeFillTint="32"/>
              <w:spacing w:before="40" w:after="40"/>
            </w:pPr>
            <w:r>
              <w:rPr>
                <w:rFonts w:hint="eastAsia"/>
              </w:rPr>
              <w:t xml:space="preserve">□人员培训 </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u w:val="single"/>
                <w:lang w:val="zh-CN" w:eastAsia="zh-CN"/>
              </w:rPr>
            </w:pPr>
            <w:r>
              <w:rPr>
                <w:rFonts w:hint="eastAsia"/>
              </w:rPr>
              <w:t>最高</w:t>
            </w:r>
            <w:r>
              <w:rPr>
                <w:rFonts w:hint="eastAsia" w:ascii="Times New Roman" w:hAnsi="Times New Roman" w:eastAsia="宋体" w:cs="Times New Roman"/>
                <w:lang w:val="en-GB"/>
              </w:rPr>
              <w:t>管理者制定了文件化的管理体系方针</w:t>
            </w:r>
            <w:r>
              <w:rPr>
                <w:rFonts w:hint="eastAsia" w:ascii="Times New Roman" w:hAnsi="Times New Roman" w:eastAsia="宋体" w:cs="Times New Roman"/>
                <w:lang w:val="en-GB" w:eastAsia="zh-CN"/>
              </w:rPr>
              <w:t>：</w:t>
            </w:r>
            <w:r>
              <w:rPr>
                <w:rFonts w:hint="eastAsia" w:cs="宋体"/>
                <w:szCs w:val="22"/>
                <w:u w:val="single"/>
              </w:rPr>
              <w:t>质量第一，顾客至上, 遵信守约，追求卓越</w:t>
            </w:r>
            <w:r>
              <w:rPr>
                <w:rFonts w:hint="eastAsia" w:cs="宋体"/>
                <w:szCs w:val="22"/>
                <w:u w:val="single"/>
                <w:lang w:eastAsia="zh-CN"/>
              </w:rPr>
              <w:t>。</w:t>
            </w:r>
          </w:p>
          <w:p>
            <w:pPr>
              <w:shd w:val="clear" w:color="auto" w:fill="C7DAF1" w:themeFill="text2" w:themeFillTint="32"/>
            </w:pPr>
            <w:r>
              <w:rPr>
                <w:rFonts w:hint="eastAsia" w:ascii="Times New Roman" w:hAnsi="Times New Roman" w:eastAsia="宋体" w:cs="Times New Roman"/>
                <w:lang w:val="en-GB"/>
              </w:rPr>
              <w:t>质量方针合理恰当并为相应的质量目标提供了框架。最</w:t>
            </w:r>
            <w:r>
              <w:rPr>
                <w:rFonts w:hint="eastAsia"/>
              </w:rPr>
              <w:t>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651"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rPr>
            </w:pPr>
            <w:r>
              <w:rPr>
                <w:rFonts w:hint="eastAsia" w:ascii="Times New Roman" w:hAnsi="Times New Roman" w:eastAsia="宋体" w:cs="Times New Roman"/>
              </w:rPr>
              <w:t>在策划管理体系时，组织确定了需要应对的风险和机遇及应对这些风险和机遇的措施；</w:t>
            </w:r>
          </w:p>
          <w:p>
            <w:pPr>
              <w:shd w:val="clear" w:color="auto" w:fill="C7DAF1" w:themeFill="text2" w:themeFillTint="32"/>
              <w:rPr>
                <w:rFonts w:hint="eastAsia" w:eastAsia="楷体"/>
                <w:lang w:eastAsia="zh-CN"/>
              </w:rPr>
            </w:pPr>
            <w:r>
              <w:rPr>
                <w:rFonts w:hint="eastAsia" w:cs="宋体"/>
                <w:lang w:val="en-US" w:eastAsia="zh-CN"/>
              </w:rPr>
              <w:t>风险：</w:t>
            </w:r>
            <w:r>
              <w:rPr>
                <w:rFonts w:hint="eastAsia"/>
                <w:sz w:val="22"/>
                <w:szCs w:val="22"/>
              </w:rPr>
              <w:t>产能不足</w:t>
            </w:r>
            <w:r>
              <w:rPr>
                <w:rFonts w:hint="eastAsia"/>
                <w:sz w:val="22"/>
                <w:szCs w:val="22"/>
                <w:lang w:eastAsia="zh-CN"/>
              </w:rPr>
              <w:t>，</w:t>
            </w:r>
            <w:r>
              <w:rPr>
                <w:rFonts w:hint="eastAsia"/>
                <w:sz w:val="22"/>
                <w:szCs w:val="22"/>
                <w:lang w:val="en-US" w:eastAsia="zh-CN"/>
              </w:rPr>
              <w:t>应对措施：</w:t>
            </w:r>
            <w:r>
              <w:rPr>
                <w:rFonts w:hint="eastAsia"/>
                <w:sz w:val="22"/>
                <w:szCs w:val="22"/>
              </w:rPr>
              <w:t>提高</w:t>
            </w:r>
            <w:r>
              <w:rPr>
                <w:rFonts w:hint="eastAsia"/>
                <w:sz w:val="22"/>
                <w:szCs w:val="22"/>
                <w:lang w:val="en-US" w:eastAsia="zh-CN"/>
              </w:rPr>
              <w:t>软件开发</w:t>
            </w:r>
            <w:r>
              <w:rPr>
                <w:rFonts w:hint="eastAsia"/>
                <w:sz w:val="22"/>
                <w:szCs w:val="22"/>
              </w:rPr>
              <w:t>效率，寻求外援</w:t>
            </w:r>
            <w:r>
              <w:rPr>
                <w:rFonts w:hint="eastAsia" w:cs="宋体"/>
              </w:rPr>
              <w:t>；机遇：</w:t>
            </w:r>
            <w:r>
              <w:rPr>
                <w:rFonts w:hint="eastAsia"/>
                <w:sz w:val="22"/>
                <w:szCs w:val="22"/>
              </w:rPr>
              <w:t>市场增长迅速，市场需求量加大</w:t>
            </w:r>
            <w:r>
              <w:rPr>
                <w:rFonts w:hint="eastAsia" w:cs="宋体"/>
              </w:rPr>
              <w:t>；应对措施：</w:t>
            </w:r>
            <w:r>
              <w:rPr>
                <w:rFonts w:hint="eastAsia"/>
                <w:sz w:val="22"/>
                <w:szCs w:val="22"/>
              </w:rPr>
              <w:t>积极研制新产品，扩大市场占有率</w:t>
            </w:r>
            <w:r>
              <w:rPr>
                <w:rFonts w:hint="eastAsia" w:cs="宋体"/>
              </w:rPr>
              <w:t>等；组织在确定这些风险和机遇时，考虑了员工岗位技能、</w:t>
            </w:r>
            <w:r>
              <w:rPr>
                <w:rFonts w:hint="eastAsia" w:cs="宋体"/>
                <w:lang w:val="en-US" w:eastAsia="zh-CN"/>
              </w:rPr>
              <w:t>综合</w:t>
            </w:r>
            <w:r>
              <w:rPr>
                <w:rFonts w:hint="eastAsia" w:cs="宋体"/>
              </w:rPr>
              <w:t>能力、市场需求等内外部因素及合同方（顾客）的相关要求</w:t>
            </w:r>
            <w:r>
              <w:rPr>
                <w:rFonts w:hint="eastAsia" w:ascii="楷体" w:hAnsi="楷体" w:eastAsia="楷体" w:cs="楷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ascii="Times New Roman" w:hAnsi="Times New Roman" w:eastAsia="宋体" w:cs="Times New Roman"/>
              </w:rPr>
            </w:pPr>
            <w:r>
              <w:rPr>
                <w:rFonts w:hint="eastAsia"/>
              </w:rPr>
              <w:t>总质</w:t>
            </w:r>
            <w:r>
              <w:rPr>
                <w:rFonts w:hint="eastAsia" w:ascii="Times New Roman" w:hAnsi="Times New Roman" w:eastAsia="宋体" w:cs="Times New Roman"/>
              </w:rPr>
              <w:t>量目标实现情况的评价，及其测量方法是：</w:t>
            </w:r>
          </w:p>
          <w:p>
            <w:pPr>
              <w:rPr>
                <w:rFonts w:hint="eastAsia" w:cs="宋体"/>
              </w:rPr>
            </w:pPr>
            <w:r>
              <w:rPr>
                <w:rFonts w:hint="eastAsia" w:cs="宋体"/>
              </w:rPr>
              <w:t>1、项目验收合格率≥98%</w:t>
            </w:r>
          </w:p>
          <w:p>
            <w:pPr>
              <w:rPr>
                <w:rFonts w:hint="eastAsia" w:cs="宋体"/>
              </w:rPr>
            </w:pPr>
            <w:r>
              <w:rPr>
                <w:rFonts w:hint="eastAsia" w:cs="宋体"/>
              </w:rPr>
              <w:t>2、顾客满意度≥90%</w:t>
            </w:r>
          </w:p>
          <w:p>
            <w:pPr>
              <w:shd w:val="clear" w:color="auto" w:fill="C7DAF1" w:themeFill="text2" w:themeFillTint="32"/>
              <w:rPr>
                <w:rFonts w:hint="default" w:ascii="Wingdings" w:hAnsi="Wingdings" w:eastAsia="宋体"/>
                <w:lang w:val="en-US" w:eastAsia="zh-CN"/>
              </w:rPr>
            </w:pPr>
            <w:r>
              <w:rPr>
                <w:rFonts w:hint="eastAsia" w:ascii="Wingdings" w:hAnsi="Wingdings"/>
                <w:lang w:val="en-US" w:eastAsia="zh-CN"/>
              </w:rPr>
              <w:t>每季度考核</w:t>
            </w:r>
          </w:p>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100</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 xml:space="preserve"> 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 xml:space="preserve"> 0</w:t>
            </w:r>
            <w:r>
              <w:rPr>
                <w:rFonts w:hint="eastAsia"/>
                <w:u w:val="single"/>
              </w:rPr>
              <w:t xml:space="preserve">  </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u w:val="single"/>
              </w:rPr>
              <w:t>电锤、电钻、虎钳、登高梯、网钳、发电机、串缆器、工具箱</w:t>
            </w:r>
          </w:p>
          <w:p>
            <w:pPr>
              <w:shd w:val="clear" w:color="auto" w:fill="C7DAF1" w:themeFill="text2" w:themeFillTint="32"/>
            </w:pPr>
            <w:r>
              <w:rPr>
                <w:rFonts w:hint="eastAsia"/>
              </w:rPr>
              <w:t xml:space="preserve">特种设备：不适用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89"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w:t>
            </w:r>
            <w:r>
              <w:t>监视和测量资源</w:t>
            </w:r>
            <w:r>
              <w:rPr>
                <w:rFonts w:hint="eastAsia"/>
              </w:rPr>
              <w:t>：</w:t>
            </w:r>
            <w:r>
              <w:rPr>
                <w:rFonts w:hint="default"/>
              </w:rPr>
              <w:t>√</w:t>
            </w:r>
            <w:r>
              <w:rPr>
                <w:rFonts w:hint="eastAsia"/>
                <w:lang w:val="en-US" w:eastAsia="zh-CN"/>
              </w:rPr>
              <w:t>自校、</w:t>
            </w:r>
            <w:r>
              <w:rPr>
                <w:rFonts w:hint="eastAsia"/>
              </w:rPr>
              <w:t>¨外校   ¨其他</w:t>
            </w:r>
          </w:p>
          <w:p>
            <w:pPr>
              <w:pStyle w:val="2"/>
              <w:rPr>
                <w:rFonts w:hint="default" w:eastAsia="宋体"/>
                <w:lang w:val="en-US" w:eastAsia="zh-CN"/>
              </w:rPr>
            </w:pPr>
            <w:r>
              <w:rPr>
                <w:rFonts w:hint="eastAsia"/>
              </w:rPr>
              <w:t>计量器具管理：</w:t>
            </w:r>
            <w:r>
              <w:rPr>
                <w:rFonts w:hint="eastAsia" w:ascii="Wingdings" w:hAnsi="Wingdings"/>
                <w:lang w:val="en-US" w:eastAsia="zh-CN"/>
              </w:rPr>
              <w:t>未</w:t>
            </w:r>
            <w:r>
              <w:rPr>
                <w:rFonts w:hint="eastAsia"/>
              </w:rPr>
              <w:t>进行定期校准/检定</w:t>
            </w:r>
            <w:r>
              <w:rPr>
                <w:rFonts w:hint="eastAsia"/>
                <w:lang w:eastAsia="zh-CN"/>
              </w:rPr>
              <w:t>，</w:t>
            </w:r>
            <w:r>
              <w:rPr>
                <w:rFonts w:hint="eastAsia"/>
                <w:lang w:val="en-US" w:eastAsia="zh-CN"/>
              </w:rPr>
              <w:t>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default" w:ascii="Arial" w:hAnsi="Arial" w:cs="Arial"/>
              </w:rPr>
              <w:t>√</w:t>
            </w:r>
            <w:r>
              <w:rPr>
                <w:rFonts w:hint="eastAsia"/>
              </w:rPr>
              <w:t xml:space="preserve">加工工艺 </w:t>
            </w:r>
            <w:r>
              <w:rPr>
                <w:rFonts w:hint="default" w:ascii="Arial" w:hAnsi="Arial" w:cs="Arial"/>
              </w:rPr>
              <w:t>√</w:t>
            </w:r>
            <w:r>
              <w:rPr>
                <w:rFonts w:hint="eastAsia"/>
              </w:rPr>
              <w:t xml:space="preserve">生产经验  </w:t>
            </w:r>
            <w:r>
              <w:rPr>
                <w:rFonts w:hint="eastAsia" w:ascii="Wingdings" w:hAnsi="Wingdings"/>
              </w:rPr>
              <w:t>¨</w:t>
            </w:r>
            <w:r>
              <w:rPr>
                <w:rFonts w:hint="eastAsia"/>
              </w:rPr>
              <w:t xml:space="preserve">管理软件  </w:t>
            </w:r>
            <w:r>
              <w:rPr>
                <w:rFonts w:hint="default" w:ascii="Arial" w:hAnsi="Arial" w:cs="Arial"/>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default" w:ascii="Arial" w:hAnsi="Arial" w:cs="Arial"/>
              </w:rPr>
              <w:t>√</w:t>
            </w:r>
            <w:r>
              <w:rPr>
                <w:rFonts w:hint="eastAsia"/>
              </w:rPr>
              <w:t xml:space="preserve">顾客提供资料 </w:t>
            </w:r>
            <w:r>
              <w:rPr>
                <w:rFonts w:hint="default" w:ascii="Arial" w:hAnsi="Arial" w:cs="Arial"/>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default" w:ascii="Arial" w:hAnsi="Arial" w:cs="Arial"/>
              </w:rPr>
              <w:t>√</w:t>
            </w:r>
            <w:r>
              <w:rPr>
                <w:rFonts w:hint="eastAsia"/>
              </w:rPr>
              <w:t xml:space="preserve">招聘 </w:t>
            </w:r>
            <w:r>
              <w:rPr>
                <w:rFonts w:hint="eastAsia" w:ascii="Wingdings" w:hAnsi="Wingdings"/>
              </w:rPr>
              <w:t>¨</w:t>
            </w:r>
            <w:r>
              <w:rPr>
                <w:rFonts w:hint="eastAsia"/>
              </w:rPr>
              <w:t xml:space="preserve">换岗  </w:t>
            </w:r>
            <w:r>
              <w:rPr>
                <w:rFonts w:hint="default" w:ascii="Arial" w:hAnsi="Arial" w:cs="Arial"/>
              </w:rPr>
              <w:t>√</w:t>
            </w:r>
            <w:r>
              <w:rPr>
                <w:rFonts w:hint="eastAsia"/>
              </w:rPr>
              <w:t xml:space="preserve">培训  </w:t>
            </w:r>
            <w:r>
              <w:rPr>
                <w:rFonts w:hint="default" w:ascii="Arial" w:hAnsi="Arial" w:cs="Arial"/>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eastAsia="zh-CN"/>
              </w:rPr>
            </w:pPr>
            <w:r>
              <w:rPr>
                <w:rFonts w:hint="eastAsia"/>
              </w:rPr>
              <w:t>特种作业人员：</w:t>
            </w:r>
            <w:r>
              <w:rPr>
                <w:rFonts w:hint="eastAsia" w:ascii="Wingdings" w:hAnsi="Wingdings"/>
                <w:lang w:val="en-US" w:eastAsia="zh-CN"/>
              </w:rPr>
              <w:t>无</w:t>
            </w:r>
          </w:p>
          <w:p>
            <w:pPr>
              <w:shd w:val="clear" w:color="auto" w:fill="C7DAF1" w:themeFill="text2" w:themeFillTint="32"/>
              <w:rPr>
                <w:rFonts w:hint="eastAsia" w:eastAsia="宋体"/>
                <w:lang w:eastAsia="zh-CN"/>
              </w:rPr>
            </w:pPr>
            <w:r>
              <w:rPr>
                <w:rFonts w:hint="eastAsia"/>
              </w:rPr>
              <w:t>特种设备作业人员：</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default" w:ascii="Arial" w:hAnsi="Arial" w:cs="Arial"/>
              </w:rPr>
              <w:t>√</w:t>
            </w:r>
            <w:r>
              <w:rPr>
                <w:rFonts w:hint="eastAsia"/>
              </w:rPr>
              <w:t xml:space="preserve">会议传达 </w:t>
            </w:r>
            <w:r>
              <w:rPr>
                <w:rFonts w:hint="default" w:ascii="Arial" w:hAnsi="Arial" w:cs="Arial"/>
              </w:rPr>
              <w:t>√</w:t>
            </w:r>
            <w:r>
              <w:rPr>
                <w:rFonts w:hint="eastAsia"/>
              </w:rPr>
              <w:t xml:space="preserve">标语  </w:t>
            </w:r>
            <w:r>
              <w:rPr>
                <w:rFonts w:hint="default" w:ascii="Arial" w:hAnsi="Arial" w:cs="Arial"/>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default" w:ascii="Arial" w:hAnsi="Arial" w:cs="Arial"/>
              </w:rPr>
              <w:t>√</w:t>
            </w:r>
            <w:r>
              <w:rPr>
                <w:rFonts w:hint="eastAsia"/>
              </w:rPr>
              <w:t xml:space="preserve">文件发放 </w:t>
            </w:r>
            <w:r>
              <w:rPr>
                <w:rFonts w:hint="default" w:ascii="Arial" w:hAnsi="Arial" w:cs="Arial"/>
              </w:rPr>
              <w:t>√</w:t>
            </w:r>
            <w:r>
              <w:rPr>
                <w:rFonts w:hint="eastAsia"/>
              </w:rPr>
              <w:t xml:space="preserve">会议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default" w:ascii="Arial" w:hAnsi="Arial" w:cs="Arial"/>
              </w:rPr>
              <w:t>√</w:t>
            </w:r>
            <w:r>
              <w:rPr>
                <w:rFonts w:hint="eastAsia"/>
              </w:rPr>
              <w:t xml:space="preserve">宣传材料 </w:t>
            </w:r>
            <w:r>
              <w:rPr>
                <w:rFonts w:hint="eastAsia" w:ascii="Wingdings" w:hAnsi="Wingdings"/>
              </w:rPr>
              <w:t>¨</w:t>
            </w:r>
            <w:r>
              <w:rPr>
                <w:rFonts w:hint="eastAsia"/>
              </w:rPr>
              <w:t xml:space="preserve">网站  </w:t>
            </w:r>
            <w:r>
              <w:rPr>
                <w:rFonts w:hint="default" w:ascii="Arial" w:hAnsi="Arial" w:cs="Arial"/>
              </w:rPr>
              <w:t>√</w:t>
            </w:r>
            <w:r>
              <w:rPr>
                <w:rFonts w:hint="eastAsia"/>
              </w:rPr>
              <w:t xml:space="preserve">标语  </w:t>
            </w:r>
            <w:r>
              <w:rPr>
                <w:rFonts w:hint="default" w:ascii="Arial" w:hAnsi="Arial" w:cs="Arial"/>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default" w:ascii="Arial" w:hAnsi="Arial" w:cs="Arial"/>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w:t>
            </w:r>
            <w:r>
              <w:rPr>
                <w:rFonts w:hint="default" w:ascii="Arial" w:hAnsi="Arial" w:cs="Arial"/>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eastAsia="黑体"/>
                <w:szCs w:val="21"/>
                <w:lang w:val="en-US" w:eastAsia="zh-CN"/>
              </w:rPr>
              <w:t>假日丽城小区安防系统集成</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产品运输</w:t>
            </w:r>
            <w:r>
              <w:rPr>
                <w:rFonts w:hint="eastAsia"/>
              </w:rPr>
              <w:t xml:space="preserve"> </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lang w:val="en-US" w:eastAsia="zh-CN"/>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sz w:val="21"/>
                <w:szCs w:val="21"/>
                <w:u w:val="single"/>
                <w:lang w:val="en-US" w:eastAsia="zh-CN"/>
              </w:rPr>
              <w:t>综合布线、</w:t>
            </w:r>
            <w:r>
              <w:rPr>
                <w:rFonts w:hint="eastAsia"/>
                <w:sz w:val="21"/>
                <w:szCs w:val="21"/>
                <w:u w:val="single"/>
                <w:lang w:val="en-US" w:eastAsia="zh-CN"/>
              </w:rPr>
              <w:t>业务洽谈</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图纸 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8</w:t>
            </w:r>
            <w:r>
              <w:rPr>
                <w:rFonts w:hint="eastAsia" w:ascii="楷体" w:hAnsi="楷体" w:eastAsia="楷体"/>
                <w:szCs w:val="21"/>
              </w:rPr>
              <w:t>月</w:t>
            </w:r>
            <w:r>
              <w:rPr>
                <w:rFonts w:hint="eastAsia" w:ascii="楷体" w:hAnsi="楷体" w:eastAsia="楷体"/>
                <w:szCs w:val="21"/>
                <w:lang w:val="en-US" w:eastAsia="zh-CN"/>
              </w:rPr>
              <w:t>20-21</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9</w:t>
            </w:r>
            <w:r>
              <w:rPr>
                <w:rFonts w:hint="eastAsia" w:ascii="楷体" w:hAnsi="楷体" w:eastAsia="楷体"/>
                <w:lang w:eastAsia="zh-CN"/>
              </w:rPr>
              <w:t>月</w:t>
            </w:r>
            <w:r>
              <w:rPr>
                <w:rFonts w:hint="eastAsia" w:ascii="楷体" w:hAnsi="楷体" w:eastAsia="楷体"/>
                <w:lang w:val="en-US" w:eastAsia="zh-CN"/>
              </w:rPr>
              <w:t>10</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ascii="Times New Roman" w:hAnsi="Times New Roman" w:eastAsia="宋体" w:cs="Times New Roman"/>
                <w:u w:val="single"/>
                <w:lang w:val="en-US" w:eastAsia="zh-CN"/>
              </w:rPr>
            </w:pPr>
            <w:r>
              <w:rPr>
                <w:rFonts w:hint="eastAsia"/>
              </w:rPr>
              <w:t>最高管理</w:t>
            </w:r>
            <w:r>
              <w:rPr>
                <w:rFonts w:hint="eastAsia" w:ascii="Times New Roman" w:hAnsi="Times New Roman" w:eastAsia="宋体" w:cs="Times New Roman"/>
                <w:lang w:val="en-GB"/>
              </w:rPr>
              <w:t>者制定了文件化的管理体系方针：</w:t>
            </w:r>
            <w:r>
              <w:rPr>
                <w:rFonts w:hint="eastAsia" w:cs="宋体"/>
                <w:szCs w:val="22"/>
                <w:u w:val="single"/>
              </w:rPr>
              <w:t>防止污染，保护环境，预防为主，共建家园</w:t>
            </w:r>
            <w:r>
              <w:rPr>
                <w:rFonts w:hint="eastAsia" w:cs="宋体"/>
                <w:szCs w:val="22"/>
                <w:u w:val="single"/>
                <w:lang w:eastAsia="zh-CN"/>
              </w:rPr>
              <w:t>。</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rPr>
                <w:rFonts w:hint="eastAsia" w:eastAsia="宋体"/>
                <w:lang w:eastAsia="zh-CN"/>
              </w:rPr>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rPr>
                <w:rFonts w:hint="eastAsia" w:ascii="Times New Roman" w:hAnsi="Times New Roman" w:eastAsia="宋体" w:cs="Times New Roman"/>
              </w:rPr>
            </w:pPr>
            <w:r>
              <w:rPr>
                <w:rFonts w:hint="eastAsia"/>
              </w:rPr>
              <w:t>环境总目标：</w:t>
            </w:r>
            <w:r>
              <w:rPr>
                <w:rFonts w:hint="eastAsia" w:cs="宋体"/>
              </w:rPr>
              <w:t>3、固废分类处置率100%</w:t>
            </w:r>
            <w:r>
              <w:rPr>
                <w:rFonts w:hint="eastAsia" w:cs="宋体"/>
                <w:lang w:eastAsia="zh-CN"/>
              </w:rPr>
              <w:t>；</w:t>
            </w:r>
            <w:r>
              <w:rPr>
                <w:rFonts w:hint="eastAsia" w:cs="宋体"/>
              </w:rPr>
              <w:t>4、火灾、触电、环境、安全事故为0</w:t>
            </w:r>
            <w:r>
              <w:rPr>
                <w:rFonts w:hint="eastAsia" w:ascii="Times New Roman" w:hAnsi="Times New Roman" w:eastAsia="宋体" w:cs="Times New Roman"/>
              </w:rPr>
              <w:t>。</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681"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1</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rFonts w:hint="eastAsia"/>
                <w:color w:val="000000"/>
                <w:u w:val="single"/>
                <w:lang w:val="en-US" w:eastAsia="zh-CN"/>
              </w:rPr>
            </w:pPr>
            <w:r>
              <w:rPr>
                <w:rFonts w:hint="eastAsia"/>
              </w:rPr>
              <w:t>主要生产设备有：</w:t>
            </w:r>
            <w:r>
              <w:rPr>
                <w:rFonts w:hint="eastAsia"/>
                <w:u w:val="single"/>
              </w:rPr>
              <w:t xml:space="preserve"> 电锤、电钻、虎钳、登高梯、网钳、发电机、串缆器、工具箱</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41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val="en-US" w:eastAsia="zh-CN"/>
              </w:rPr>
              <w:t>.</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见QMS体系</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产品运输</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ascii="Wingdings" w:hAnsi="Wingdings"/>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服务</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21</w:t>
            </w:r>
            <w:r>
              <w:rPr>
                <w:rFonts w:hint="eastAsia"/>
              </w:rPr>
              <w:t>年</w:t>
            </w:r>
            <w:r>
              <w:rPr>
                <w:rFonts w:hint="eastAsia"/>
                <w:lang w:val="en-US" w:eastAsia="zh-CN"/>
              </w:rPr>
              <w:t>4</w:t>
            </w:r>
            <w:r>
              <w:rPr>
                <w:rFonts w:hint="eastAsia"/>
              </w:rPr>
              <w:t>月</w:t>
            </w:r>
            <w:r>
              <w:rPr>
                <w:rFonts w:hint="eastAsia"/>
                <w:lang w:val="en-US" w:eastAsia="zh-CN"/>
              </w:rPr>
              <w:t>15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1</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5</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15</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rPr>
                <w:rFonts w:hint="eastAsia" w:eastAsia="宋体"/>
                <w:lang w:val="en-US" w:eastAsia="zh-CN"/>
              </w:rPr>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1</w:t>
            </w:r>
            <w:r>
              <w:rPr>
                <w:rFonts w:hint="eastAsia" w:ascii="楷体" w:hAnsi="楷体" w:eastAsia="楷体"/>
                <w:szCs w:val="21"/>
              </w:rPr>
              <w:t>年</w:t>
            </w:r>
            <w:r>
              <w:rPr>
                <w:rFonts w:hint="eastAsia" w:ascii="楷体" w:hAnsi="楷体" w:eastAsia="楷体"/>
                <w:szCs w:val="21"/>
                <w:lang w:val="en-US" w:eastAsia="zh-CN"/>
              </w:rPr>
              <w:t>8</w:t>
            </w:r>
            <w:r>
              <w:rPr>
                <w:rFonts w:hint="eastAsia" w:ascii="楷体" w:hAnsi="楷体" w:eastAsia="楷体"/>
                <w:szCs w:val="21"/>
              </w:rPr>
              <w:t>月</w:t>
            </w:r>
            <w:r>
              <w:rPr>
                <w:rFonts w:hint="eastAsia" w:ascii="楷体" w:hAnsi="楷体" w:eastAsia="楷体"/>
                <w:szCs w:val="21"/>
                <w:lang w:val="en-US" w:eastAsia="zh-CN"/>
              </w:rPr>
              <w:t>20-21</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1</w:t>
            </w:r>
            <w:r>
              <w:rPr>
                <w:rFonts w:hint="eastAsia" w:ascii="楷体" w:hAnsi="楷体" w:eastAsia="楷体"/>
                <w:lang w:eastAsia="zh-CN"/>
              </w:rPr>
              <w:t>年</w:t>
            </w:r>
            <w:r>
              <w:rPr>
                <w:rFonts w:hint="eastAsia" w:ascii="楷体" w:hAnsi="楷体" w:eastAsia="楷体"/>
                <w:lang w:val="en-US" w:eastAsia="zh-CN"/>
              </w:rPr>
              <w:t>9</w:t>
            </w:r>
            <w:r>
              <w:rPr>
                <w:rFonts w:hint="eastAsia" w:ascii="楷体" w:hAnsi="楷体" w:eastAsia="楷体"/>
                <w:lang w:eastAsia="zh-CN"/>
              </w:rPr>
              <w:t>月</w:t>
            </w:r>
            <w:r>
              <w:rPr>
                <w:rFonts w:hint="eastAsia" w:ascii="楷体" w:hAnsi="楷体" w:eastAsia="楷体"/>
                <w:lang w:val="en-US" w:eastAsia="zh-CN"/>
              </w:rPr>
              <w:t>10</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u w:val="single"/>
                <w:lang w:val="en-US" w:eastAsia="zh-CN"/>
              </w:rPr>
            </w:pPr>
            <w:r>
              <w:rPr>
                <w:rFonts w:hint="eastAsia"/>
              </w:rPr>
              <w:t>最高管理者制定了文件化的职业健康安全管理体系方针：</w:t>
            </w:r>
            <w:r>
              <w:rPr>
                <w:rFonts w:hint="eastAsia" w:cs="宋体"/>
                <w:szCs w:val="22"/>
                <w:u w:val="single"/>
              </w:rPr>
              <w:t>文明施工，关爱生命，遵守法规，持续改进</w:t>
            </w:r>
            <w:r>
              <w:rPr>
                <w:rFonts w:hint="eastAsia" w:cs="宋体"/>
                <w:szCs w:val="22"/>
                <w:u w:val="single"/>
                <w:lang w:val="en-US" w:eastAsia="zh-CN"/>
              </w:rPr>
              <w:t>.</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工程</w:t>
            </w:r>
            <w:bookmarkStart w:id="34" w:name="_GoBack"/>
            <w:bookmarkEnd w:id="34"/>
            <w:r>
              <w:rPr>
                <w:rFonts w:hint="eastAsia"/>
                <w:lang w:val="en-US" w:eastAsia="zh-CN"/>
              </w:rPr>
              <w:t>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Pr>
              <w:rPr>
                <w:rFonts w:hint="default" w:eastAsia="宋体"/>
                <w:lang w:val="en-US" w:eastAsia="zh-CN"/>
              </w:rPr>
            </w:pPr>
            <w:r>
              <w:rPr>
                <w:rFonts w:hint="eastAsia"/>
              </w:rPr>
              <w:t>员工代表是——</w:t>
            </w:r>
            <w:r>
              <w:rPr>
                <w:rFonts w:hint="eastAsia"/>
                <w:lang w:val="en-US" w:eastAsia="zh-CN"/>
              </w:rPr>
              <w:t>解亮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default" w:ascii="Times New Roman" w:hAnsi="Times New Roman" w:eastAsia="宋体" w:cs="Times New Roman"/>
              </w:rPr>
            </w:pPr>
            <w:r>
              <w:rPr>
                <w:rFonts w:hint="default" w:ascii="Times New Roman" w:hAnsi="Times New Roman" w:eastAsia="宋体" w:cs="Times New Roman"/>
              </w:rPr>
              <w:t>职业健康安全目标：</w:t>
            </w:r>
          </w:p>
          <w:p>
            <w:pPr>
              <w:rPr>
                <w:rFonts w:hint="eastAsia" w:cs="宋体"/>
              </w:rPr>
            </w:pPr>
            <w:r>
              <w:rPr>
                <w:rFonts w:hint="eastAsia" w:cs="宋体"/>
              </w:rPr>
              <w:t>4、火灾、触电、环境、安全事故为0</w:t>
            </w:r>
          </w:p>
          <w:p>
            <w:pPr>
              <w:rPr>
                <w:rFonts w:hint="eastAsia" w:cs="宋体"/>
              </w:rPr>
            </w:pPr>
            <w:r>
              <w:rPr>
                <w:rFonts w:hint="eastAsia" w:cs="宋体"/>
              </w:rPr>
              <w:t>5、职业病发生为0</w:t>
            </w:r>
          </w:p>
          <w:p>
            <w:pPr>
              <w:rPr>
                <w:rFonts w:hint="eastAsia" w:ascii="Times New Roman" w:hAnsi="Times New Roman" w:eastAsia="宋体" w:cs="Times New Roman"/>
                <w:lang w:eastAsia="zh-CN"/>
              </w:rPr>
            </w:pPr>
            <w:r>
              <w:rPr>
                <w:rFonts w:hint="eastAsia" w:cs="宋体"/>
              </w:rPr>
              <w:t>6、轻伤事故少于3起/年</w:t>
            </w:r>
            <w:r>
              <w:rPr>
                <w:rFonts w:hint="eastAsia" w:ascii="Times New Roman" w:hAnsi="Times New Roman" w:eastAsia="宋体" w:cs="Times New Roman"/>
                <w:lang w:eastAsia="zh-CN"/>
              </w:rPr>
              <w:t>。</w:t>
            </w:r>
          </w:p>
          <w:p>
            <w:pPr>
              <w:rPr>
                <w:rFonts w:hint="eastAsia" w:ascii="Times New Roman" w:hAnsi="Times New Roman" w:eastAsia="宋体" w:cs="Times New Roman"/>
              </w:rPr>
            </w:pPr>
            <w:r>
              <w:rPr>
                <w:rFonts w:hint="eastAsia" w:ascii="Times New Roman" w:hAnsi="Times New Roman" w:eastAsia="宋体" w:cs="Times New Roman"/>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100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 xml:space="preserve">  1</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电锤、电钻、虎钳、登高梯、网钳、发电机、串缆器、工具箱</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见QMS</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rPr>
                <w:rFonts w:hint="default" w:eastAsia="宋体"/>
                <w:lang w:val="en-US" w:eastAsia="zh-CN"/>
              </w:rPr>
            </w:pPr>
            <w:r>
              <w:rPr>
                <w:rFonts w:hint="eastAsia"/>
              </w:rPr>
              <w:t>外部提供包括：</w:t>
            </w:r>
            <w:r>
              <w:rPr>
                <w:rFonts w:hint="eastAsia"/>
                <w:lang w:val="en-US" w:eastAsia="zh-CN"/>
              </w:rPr>
              <w:t>产品运输</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rPr>
                <w:rFonts w:hint="default" w:eastAsia="宋体"/>
                <w:lang w:val="en-US" w:eastAsia="zh-CN"/>
              </w:rPr>
            </w:pPr>
            <w:r>
              <w:rPr>
                <w:rFonts w:hint="eastAsia"/>
              </w:rPr>
              <w:t>对外部供方的控制：</w:t>
            </w:r>
            <w:r>
              <w:rPr>
                <w:rFonts w:hint="eastAsia" w:ascii="Wingdings" w:hAnsi="Wingdings"/>
              </w:rPr>
              <w:t>¨</w:t>
            </w:r>
            <w:r>
              <w:rPr>
                <w:rFonts w:hint="eastAsia"/>
              </w:rPr>
              <w:t>符合要求</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lang w:val="en-US" w:eastAsia="zh-CN"/>
              </w:rPr>
              <w:t>意外伤害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rFonts w:hint="eastAsia" w:eastAsia="宋体"/>
                <w:lang w:eastAsia="zh-CN"/>
              </w:rPr>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rPr>
                <w:rFonts w:hint="eastAsia" w:eastAsia="宋体"/>
                <w:lang w:eastAsia="zh-CN"/>
              </w:rPr>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pPr>
              <w:rPr>
                <w:rFonts w:hint="eastAsia" w:eastAsia="宋体"/>
                <w:lang w:eastAsia="zh-CN"/>
              </w:rPr>
            </w:pPr>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eastAsia="zh-CN"/>
              </w:rPr>
              <w:t>、</w:t>
            </w:r>
            <w:r>
              <w:rPr>
                <w:rFonts w:hint="eastAsia"/>
                <w:lang w:val="en-US" w:eastAsia="zh-CN"/>
              </w:rPr>
              <w:t>触电、机械伤害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2021</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15</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5</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15</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2021年8月20-21日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1</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9</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10</w:t>
            </w:r>
            <w:r>
              <w:rPr>
                <w:rFonts w:hint="eastAsia" w:ascii="Times New Roman" w:hAnsi="Times New Roman" w:eastAsia="宋体" w:cs="Times New Roman"/>
                <w:sz w:val="21"/>
                <w:szCs w:val="21"/>
                <w:u w:val="single"/>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40825A1A"/>
    <w:rsid w:val="74B742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3164</Words>
  <Characters>18036</Characters>
  <Lines>150</Lines>
  <Paragraphs>42</Paragraphs>
  <TotalTime>3</TotalTime>
  <ScaleCrop>false</ScaleCrop>
  <LinksUpToDate>false</LinksUpToDate>
  <CharactersWithSpaces>21158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2021-10-03T01:58:08Z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