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大庆慧龙石油机械有限公司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0075-2017-2021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0075-2017-2021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大庆慧龙石油机械有限公司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王磊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ISC-2017-0154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2022-09-05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2021年09月15日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sz w:val="18"/>
                <w:szCs w:val="18"/>
                <w:lang w:val="en-US" w:eastAsia="zh-CN"/>
              </w:rPr>
              <w:t>质检办</w:t>
            </w:r>
            <w:r>
              <w:rPr>
                <w:rFonts w:hint="eastAsia" w:ascii="宋体" w:hAnsi="宋体" w:cs="宋体"/>
                <w:sz w:val="18"/>
                <w:szCs w:val="18"/>
              </w:rPr>
              <w:t>(计量职能部门)、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技术办、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生产办、 行政办 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营销办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份，顾客满意度为9</w:t>
      </w:r>
      <w:r>
        <w:rPr>
          <w:rFonts w:hint="eastAsia"/>
          <w:szCs w:val="21"/>
          <w:highlight w:val="none"/>
          <w:lang w:val="en-US" w:eastAsia="zh-CN"/>
        </w:rPr>
        <w:t>7.5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20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调心式防喷盒小四通外径检测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个关键测量过程</w:t>
      </w:r>
      <w:r>
        <w:rPr>
          <w:rFonts w:hint="eastAsia"/>
          <w:szCs w:val="21"/>
          <w:lang w:val="en-US" w:eastAsia="zh-CN"/>
        </w:rPr>
        <w:t>3个重要过程</w:t>
      </w:r>
      <w:r>
        <w:rPr>
          <w:szCs w:val="21"/>
        </w:rPr>
        <w:t>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-11日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王兴东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朱永珍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  <w:bookmarkStart w:id="11" w:name="_GoBack"/>
      <w:bookmarkEnd w:id="11"/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调心式防喷盒小四通外径检测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调心式防喷盒小四通外径检测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调心式防喷盒小四通外径检测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调心式防喷盒小四通外径检测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调心式防喷盒小四通外径检测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大庆油田计量检定测试所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highlight w:val="none"/>
          <w:lang w:val="en-US" w:eastAsia="zh-CN"/>
        </w:rPr>
        <w:t>2.9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630" w:firstLineChars="3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查企业测量设备台账的检定/校准日期栏没有及时更新，不符合GB/T19022-2003条款6.3.1 测量设备。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highlight w:val="red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，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大庆慧龙石油机械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2021.9.15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527C1"/>
    <w:rsid w:val="19E71181"/>
    <w:rsid w:val="714E4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6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2021-09-18T00:39:03Z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D9CD9C6C29894AD1BE627CE790394CC0</vt:lpwstr>
  </property>
</Properties>
</file>