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0970-2021-F</w:t>
      </w:r>
      <w:bookmarkEnd w:id="0"/>
    </w:p>
    <w:p>
      <w:pPr>
        <w:snapToGrid w:val="0"/>
        <w:spacing w:line="0" w:lineRule="atLeast"/>
        <w:jc w:val="center"/>
        <w:rPr>
          <w:rFonts w:hint="eastAsia"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14:textFill>
                  <w14:solidFill>
                    <w14:schemeClr w14:val="tx1"/>
                  </w14:solidFill>
                </w14:textFill>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14:textFill>
                  <w14:solidFill>
                    <w14:schemeClr w14:val="tx1"/>
                  </w14:solidFill>
                </w14:textFill>
              </w:rPr>
            </w:pPr>
            <w:bookmarkStart w:id="1" w:name="组织名称"/>
            <w:r>
              <w:rPr>
                <w:rFonts w:hint="eastAsia" w:eastAsia="隶书"/>
                <w:b/>
                <w:color w:val="000000" w:themeColor="text1"/>
                <w:sz w:val="22"/>
                <w:szCs w:val="22"/>
                <w:vertAlign w:val="baseline"/>
                <w14:textFill>
                  <w14:solidFill>
                    <w14:schemeClr w14:val="tx1"/>
                  </w14:solidFill>
                </w14:textFill>
              </w:rPr>
              <w:t>建德市兴隆钙粉有限公司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14:textFill>
                  <w14:solidFill>
                    <w14:schemeClr w14:val="tx1"/>
                  </w14:solidFill>
                </w14:textFill>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14:textFill>
                  <w14:solidFill>
                    <w14:schemeClr w14:val="tx1"/>
                  </w14:solidFill>
                </w14:textFill>
              </w:rPr>
            </w:pPr>
            <w:bookmarkStart w:id="2" w:name="总组长"/>
            <w:r>
              <w:rPr>
                <w:rFonts w:hint="eastAsia" w:eastAsia="隶书"/>
                <w:b/>
                <w:color w:val="000000" w:themeColor="text1"/>
                <w:sz w:val="22"/>
                <w:szCs w:val="22"/>
                <w:vertAlign w:val="baseline"/>
                <w14:textFill>
                  <w14:solidFill>
                    <w14:schemeClr w14:val="tx1"/>
                  </w14:solidFill>
                </w14:textFill>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rFonts w:hint="eastAsia"/>
                <w:sz w:val="22"/>
                <w:szCs w:val="22"/>
                <w:lang w:val="en-US" w:eastAsia="zh-CN"/>
              </w:rPr>
              <w:t>——</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highlight w:val="none"/>
                <w:lang w:val="en-US" w:eastAsia="zh-CN"/>
              </w:rPr>
            </w:pPr>
            <w:r>
              <w:rPr>
                <w:rFonts w:hint="eastAsia"/>
                <w:sz w:val="22"/>
                <w:szCs w:val="22"/>
                <w:highlight w:val="none"/>
                <w:lang w:val="en-GB" w:eastAsia="zh-CN"/>
              </w:rPr>
              <w:t>组织机构代码</w:t>
            </w:r>
          </w:p>
        </w:tc>
        <w:tc>
          <w:tcPr>
            <w:tcW w:w="5040" w:type="dxa"/>
            <w:gridSpan w:val="3"/>
          </w:tcPr>
          <w:p>
            <w:pPr>
              <w:snapToGrid w:val="0"/>
              <w:spacing w:line="0" w:lineRule="atLeast"/>
              <w:jc w:val="center"/>
              <w:rPr>
                <w:rFonts w:hint="eastAsia"/>
                <w:sz w:val="22"/>
                <w:szCs w:val="22"/>
                <w:highlight w:val="none"/>
                <w:lang w:val="en-US" w:eastAsia="zh-CN"/>
              </w:rPr>
            </w:pPr>
            <w:bookmarkStart w:id="4" w:name="机构代码"/>
            <w:r>
              <w:rPr>
                <w:rFonts w:hint="eastAsia"/>
                <w:sz w:val="22"/>
                <w:szCs w:val="22"/>
                <w:highlight w:val="none"/>
                <w:lang w:val="en-US" w:eastAsia="zh-CN"/>
              </w:rPr>
              <w:t>9133018278531026XU</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22000-2018&amp;CCAA 0014-2014(CNCA/CTS 0020-2008A) 食品安全管理体系 食品及饲料添加剂生产企业要求</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初次认证</w:t>
            </w:r>
            <w:r>
              <w:rPr>
                <w:rFonts w:hint="eastAsia"/>
                <w:b/>
                <w:color w:val="000000" w:themeColor="text1"/>
                <w:spacing w:val="-2"/>
                <w:sz w:val="21"/>
                <w:szCs w:val="21"/>
                <w:lang w:val="en-US" w:eastAsia="zh-CN"/>
                <w14:textFill>
                  <w14:solidFill>
                    <w14:schemeClr w14:val="tx1"/>
                  </w14:solidFill>
                </w14:textFill>
              </w:rPr>
              <w:t xml:space="preserve">  </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监督审核</w:t>
            </w:r>
            <w:r>
              <w:rPr>
                <w:rFonts w:hint="eastAsia"/>
                <w:b/>
                <w:color w:val="000000" w:themeColor="text1"/>
                <w:spacing w:val="-2"/>
                <w:sz w:val="21"/>
                <w:szCs w:val="21"/>
                <w:lang w:val="en-US" w:eastAsia="zh-CN"/>
                <w14:textFill>
                  <w14:solidFill>
                    <w14:schemeClr w14:val="tx1"/>
                  </w14:solidFill>
                </w14:textFill>
              </w:rPr>
              <w:t xml:space="preserve">  </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再认证</w:t>
            </w:r>
            <w:r>
              <w:rPr>
                <w:rFonts w:hint="eastAsia"/>
                <w:b/>
                <w:color w:val="000000" w:themeColor="text1"/>
                <w:spacing w:val="-2"/>
                <w:sz w:val="21"/>
                <w:szCs w:val="21"/>
                <w:lang w:val="en-US" w:eastAsia="zh-CN"/>
                <w14:textFill>
                  <w14:solidFill>
                    <w14:schemeClr w14:val="tx1"/>
                  </w14:solidFill>
                </w14:textFill>
              </w:rPr>
              <w:t xml:space="preserve"> </w:t>
            </w:r>
            <w:bookmarkStart w:id="16" w:name="特殊审核勾选"/>
            <w:r>
              <w:rPr>
                <w:rFonts w:hint="eastAsia"/>
                <w:b/>
                <w:color w:val="000000" w:themeColor="text1"/>
                <w:spacing w:val="-2"/>
                <w:sz w:val="21"/>
                <w:szCs w:val="21"/>
                <w:lang w:val="en-US" w:eastAsia="zh-CN"/>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w:t>
            </w:r>
            <w:r>
              <w:rPr>
                <w:rFonts w:hint="eastAsia"/>
                <w:b/>
                <w:color w:val="000000" w:themeColor="text1"/>
                <w:spacing w:val="-2"/>
                <w:sz w:val="21"/>
                <w:szCs w:val="21"/>
                <w:lang w:val="en-US" w:eastAsia="zh-CN"/>
                <w14:textFill>
                  <w14:solidFill>
                    <w14:schemeClr w14:val="tx1"/>
                  </w14:solidFill>
                </w14:textFill>
              </w:rPr>
              <w:t xml:space="preserve">  </w:t>
            </w:r>
            <w:r>
              <w:rPr>
                <w:rFonts w:hint="eastAsia"/>
                <w:b/>
                <w:color w:val="000000" w:themeColor="text1"/>
                <w:spacing w:val="-2"/>
                <w:sz w:val="21"/>
                <w:szCs w:val="21"/>
                <w14:textFill>
                  <w14:solidFill>
                    <w14:schemeClr w14:val="tx1"/>
                  </w14:solidFill>
                </w14:textFill>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□地址变更</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bookmarkStart w:id="17" w:name="组织名称Add1"/>
            <w:r>
              <w:rPr>
                <w:rFonts w:hint="eastAsia" w:ascii="Times New Roman" w:hAnsi="Times New Roman" w:eastAsia="宋体" w:cs="Times New Roman"/>
                <w:b w:val="0"/>
                <w:kern w:val="2"/>
                <w:sz w:val="22"/>
                <w:szCs w:val="22"/>
                <w:highlight w:val="none"/>
                <w:lang w:val="en-US" w:eastAsia="zh-CN" w:bidi="ar-SA"/>
              </w:rPr>
              <w:t>建德市兴隆钙粉有限公司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sz w:val="21"/>
                <w:szCs w:val="21"/>
              </w:rPr>
              <w:t>位于浙江省</w:t>
            </w:r>
            <w:r>
              <w:rPr>
                <w:rFonts w:hint="eastAsia"/>
                <w:sz w:val="21"/>
                <w:szCs w:val="21"/>
                <w:lang w:val="en-US" w:eastAsia="zh-CN"/>
              </w:rPr>
              <w:t>杭州市</w:t>
            </w:r>
            <w:r>
              <w:rPr>
                <w:sz w:val="21"/>
                <w:szCs w:val="21"/>
              </w:rPr>
              <w:t>建德市航头镇灵栖村建德市兴隆钙粉有限公司生产车间的食品添加剂（碳酸钙【重质碳酸钙（I）】、氢氧化钙）的生产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bookmarkStart w:id="19" w:name="注册地址"/>
            <w:r>
              <w:rPr>
                <w:rFonts w:hint="eastAsia" w:ascii="Times New Roman" w:hAnsi="Times New Roman" w:eastAsia="宋体" w:cs="Times New Roman"/>
                <w:b w:val="0"/>
                <w:kern w:val="2"/>
                <w:sz w:val="22"/>
                <w:szCs w:val="22"/>
                <w:highlight w:val="none"/>
                <w:lang w:val="en-GB" w:eastAsia="zh-CN" w:bidi="ar-SA"/>
              </w:rPr>
              <w:t>建德市航头镇灵栖村</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r>
              <w:rPr>
                <w:rFonts w:hint="eastAsia" w:ascii="Times New Roman" w:hAnsi="Times New Roman" w:eastAsia="宋体" w:cs="Times New Roman"/>
                <w:b w:val="0"/>
                <w:kern w:val="2"/>
                <w:sz w:val="22"/>
                <w:szCs w:val="22"/>
                <w:highlight w:val="none"/>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sz w:val="21"/>
                <w:szCs w:val="21"/>
                <w:highlight w:val="none"/>
              </w:rPr>
              <w:t>浙江省</w:t>
            </w:r>
            <w:r>
              <w:rPr>
                <w:rFonts w:hint="eastAsia"/>
                <w:sz w:val="21"/>
                <w:szCs w:val="21"/>
                <w:highlight w:val="none"/>
                <w:lang w:val="en-US" w:eastAsia="zh-CN"/>
              </w:rPr>
              <w:t>杭州市</w:t>
            </w:r>
            <w:r>
              <w:rPr>
                <w:sz w:val="21"/>
                <w:szCs w:val="21"/>
                <w:highlight w:val="none"/>
              </w:rPr>
              <w:t>建德市航头镇灵栖村</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cs="Arial"/>
                <w:b/>
                <w:bCs/>
                <w:sz w:val="22"/>
                <w:szCs w:val="16"/>
                <w:highlight w:val="none"/>
                <w:lang w:val="en-US"/>
              </w:rPr>
              <w:t>Company Name</w:t>
            </w:r>
            <w:r>
              <w:rPr>
                <w:rFonts w:hint="eastAsia" w:ascii="Times New Roman" w:hAnsi="Times New Roman" w:eastAsia="宋体" w:cs="Times New Roman"/>
                <w:b w:val="0"/>
                <w:kern w:val="2"/>
                <w:sz w:val="22"/>
                <w:szCs w:val="22"/>
                <w:highlight w:val="none"/>
                <w:lang w:val="en-GB" w:eastAsia="zh-CN" w:bidi="ar-SA"/>
              </w:rPr>
              <w:t>公司名称</w:t>
            </w:r>
          </w:p>
        </w:tc>
        <w:tc>
          <w:tcPr>
            <w:tcW w:w="3373" w:type="dxa"/>
            <w:vMerge w:val="restart"/>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Xinglong Calcium Powder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QMS/EcMS</w:t>
            </w:r>
          </w:p>
        </w:tc>
        <w:tc>
          <w:tcPr>
            <w:tcW w:w="3676" w:type="dxa"/>
            <w:gridSpan w:val="3"/>
          </w:tcPr>
          <w:p>
            <w:pPr>
              <w:snapToGrid w:val="0"/>
              <w:spacing w:line="0" w:lineRule="atLeast"/>
              <w:jc w:val="left"/>
              <w:rPr>
                <w:rFonts w:hint="eastAsia"/>
                <w:sz w:val="21"/>
                <w:szCs w:val="16"/>
                <w:highlight w:val="yellow"/>
                <w:lang w:val="en-US" w:eastAsia="zh-CN"/>
              </w:rPr>
            </w:pPr>
            <w:r>
              <w:rPr>
                <w:rFonts w:hint="eastAsia"/>
                <w:sz w:val="21"/>
                <w:szCs w:val="1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lang w:val="en-US"/>
              </w:rPr>
            </w:pPr>
          </w:p>
        </w:tc>
        <w:tc>
          <w:tcPr>
            <w:tcW w:w="3373" w:type="dxa"/>
            <w:vMerge w:val="continue"/>
          </w:tcPr>
          <w:p>
            <w:pPr>
              <w:snapToGrid w:val="0"/>
              <w:spacing w:line="0" w:lineRule="atLeast"/>
              <w:jc w:val="left"/>
              <w:rPr>
                <w:rFonts w:hint="eastAsia" w:cs="Arial"/>
                <w:b/>
                <w:bCs/>
                <w:sz w:val="22"/>
                <w:szCs w:val="16"/>
                <w:highlight w:val="none"/>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EMS</w:t>
            </w:r>
          </w:p>
        </w:tc>
        <w:tc>
          <w:tcPr>
            <w:tcW w:w="3676" w:type="dxa"/>
            <w:gridSpan w:val="3"/>
          </w:tcPr>
          <w:p>
            <w:pPr>
              <w:snapToGrid w:val="0"/>
              <w:spacing w:line="0" w:lineRule="atLeast"/>
              <w:jc w:val="left"/>
              <w:rPr>
                <w:rFonts w:hint="eastAsia"/>
                <w:sz w:val="21"/>
                <w:szCs w:val="16"/>
                <w:highlight w:val="none"/>
                <w:lang w:val="en-US" w:eastAsia="zh-CN"/>
              </w:rPr>
            </w:pPr>
            <w:r>
              <w:rPr>
                <w:rFonts w:hint="eastAsia"/>
                <w:sz w:val="21"/>
                <w:szCs w:val="16"/>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sz w:val="22"/>
                <w:szCs w:val="16"/>
                <w:highlight w:val="none"/>
              </w:rPr>
              <w:fldChar w:fldCharType="begin"/>
            </w:r>
            <w:r>
              <w:rPr>
                <w:sz w:val="22"/>
                <w:szCs w:val="16"/>
                <w:highlight w:val="none"/>
                <w:lang w:val="en-GB" w:eastAsia="zh-CN"/>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lang w:val="en-US"/>
              </w:rPr>
              <w:t>Registration Address</w:t>
            </w:r>
            <w:r>
              <w:rPr>
                <w:rFonts w:hint="eastAsia" w:ascii="Times New Roman" w:hAnsi="Times New Roman" w:eastAsia="宋体" w:cs="Times New Roman"/>
                <w:b w:val="0"/>
                <w:kern w:val="2"/>
                <w:sz w:val="22"/>
                <w:szCs w:val="22"/>
                <w:highlight w:val="none"/>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Lingqi Village, Hangtou Town, Jiande City</w:t>
            </w:r>
          </w:p>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Arial"/>
                <w:b w:val="0"/>
                <w:bCs w:val="0"/>
                <w:sz w:val="22"/>
                <w:szCs w:val="16"/>
                <w:highlight w:val="none"/>
                <w:lang w:val="en-US" w:eastAsia="zh-CN"/>
              </w:rPr>
              <w:t>Zip Code:311612</w:t>
            </w: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highlight w:val="none"/>
                <w:lang w:val="en-GB" w:eastAsia="zh-CN" w:bidi="ar-SA"/>
              </w:rPr>
            </w:pPr>
            <w:r>
              <w:rPr>
                <w:rFonts w:cs="Arial"/>
                <w:b/>
                <w:bCs/>
                <w:sz w:val="22"/>
                <w:szCs w:val="16"/>
                <w:highlight w:val="none"/>
                <w:lang w:val="en-US"/>
              </w:rPr>
              <w:t>Operation Address</w:t>
            </w:r>
            <w:r>
              <w:rPr>
                <w:rFonts w:hint="eastAsia" w:cs="Times New Roman"/>
                <w:b w:val="0"/>
                <w:kern w:val="2"/>
                <w:sz w:val="22"/>
                <w:szCs w:val="22"/>
                <w:highlight w:val="none"/>
                <w:lang w:val="en-US" w:eastAsia="zh-CN" w:bidi="ar-SA"/>
              </w:rPr>
              <w:t>经营</w:t>
            </w:r>
            <w:r>
              <w:rPr>
                <w:rFonts w:hint="eastAsia" w:ascii="Times New Roman" w:hAnsi="Times New Roman" w:eastAsia="宋体" w:cs="Times New Roman"/>
                <w:b w:val="0"/>
                <w:kern w:val="2"/>
                <w:sz w:val="22"/>
                <w:szCs w:val="22"/>
                <w:highlight w:val="none"/>
                <w:lang w:val="en-GB" w:eastAsia="zh-CN" w:bidi="ar-SA"/>
              </w:rPr>
              <w:t>地址</w:t>
            </w:r>
          </w:p>
        </w:tc>
        <w:tc>
          <w:tcPr>
            <w:tcW w:w="3373" w:type="dxa"/>
            <w:vMerge w:val="restart"/>
          </w:tcPr>
          <w:p>
            <w:pPr>
              <w:snapToGrid w:val="0"/>
              <w:spacing w:line="0" w:lineRule="atLeast"/>
              <w:jc w:val="left"/>
              <w:rPr>
                <w:rFonts w:hint="eastAsia" w:cs="Times New Roman"/>
                <w:b w:val="0"/>
                <w:kern w:val="2"/>
                <w:sz w:val="22"/>
                <w:szCs w:val="22"/>
                <w:highlight w:val="none"/>
                <w:lang w:val="en-US" w:eastAsia="zh-CN" w:bidi="ar-SA"/>
              </w:rPr>
            </w:pPr>
            <w:r>
              <w:rPr>
                <w:rFonts w:hint="eastAsia" w:ascii="Times New Roman" w:hAnsi="Times New Roman" w:eastAsia="宋体" w:cs="Times New Roman"/>
                <w:b w:val="0"/>
                <w:kern w:val="2"/>
                <w:sz w:val="22"/>
                <w:szCs w:val="22"/>
                <w:highlight w:val="none"/>
                <w:lang w:val="en-US" w:eastAsia="zh-CN" w:bidi="ar-SA"/>
              </w:rPr>
              <w:t>Lingqi Village, Hangtou Town, Jiande City, Hangzhou City, Zhejiang Province</w:t>
            </w:r>
            <w:r>
              <w:rPr>
                <w:rFonts w:hint="eastAsia" w:cs="Times New Roman"/>
                <w:b w:val="0"/>
                <w:kern w:val="2"/>
                <w:sz w:val="22"/>
                <w:szCs w:val="22"/>
                <w:highlight w:val="none"/>
                <w:lang w:val="en-US" w:eastAsia="zh-CN" w:bidi="ar-SA"/>
              </w:rPr>
              <w:t>, China</w:t>
            </w:r>
          </w:p>
          <w:p>
            <w:pPr>
              <w:snapToGrid w:val="0"/>
              <w:spacing w:line="0" w:lineRule="atLeast"/>
              <w:jc w:val="left"/>
              <w:rPr>
                <w:rFonts w:hint="eastAsia" w:cs="Times New Roman"/>
                <w:b w:val="0"/>
                <w:kern w:val="2"/>
                <w:sz w:val="22"/>
                <w:szCs w:val="22"/>
                <w:highlight w:val="none"/>
                <w:lang w:val="en-US" w:eastAsia="zh-CN" w:bidi="ar-SA"/>
              </w:rPr>
            </w:pPr>
            <w:r>
              <w:rPr>
                <w:rFonts w:hint="eastAsia" w:cs="Arial"/>
                <w:b w:val="0"/>
                <w:bCs w:val="0"/>
                <w:sz w:val="22"/>
                <w:szCs w:val="16"/>
                <w:highlight w:val="none"/>
                <w:lang w:val="en-US" w:eastAsia="zh-CN"/>
              </w:rPr>
              <w:t>Zip Code:311612</w:t>
            </w:r>
          </w:p>
        </w:tc>
        <w:tc>
          <w:tcPr>
            <w:tcW w:w="1337" w:type="dxa"/>
          </w:tcPr>
          <w:p>
            <w:pPr>
              <w:snapToGrid w:val="0"/>
              <w:spacing w:line="0" w:lineRule="atLeast"/>
              <w:jc w:val="left"/>
              <w:rPr>
                <w:rFonts w:hint="eastAsia" w:ascii="Times New Roman" w:hAnsi="Times New Roman" w:eastAsia="宋体" w:cs="Times New Roman"/>
                <w:b w:val="0"/>
                <w:kern w:val="2"/>
                <w:sz w:val="22"/>
                <w:szCs w:val="22"/>
                <w:highlight w:val="none"/>
                <w:lang w:val="en-US" w:eastAsia="zh-CN" w:bidi="ar-SA"/>
              </w:rPr>
            </w:pPr>
            <w:r>
              <w:rPr>
                <w:rFonts w:hint="eastAsia" w:cs="Times New Roman"/>
                <w:b w:val="0"/>
                <w:kern w:val="2"/>
                <w:sz w:val="22"/>
                <w:szCs w:val="22"/>
                <w:highlight w:val="none"/>
                <w:lang w:val="en-US" w:eastAsia="zh-CN" w:bidi="ar-SA"/>
              </w:rPr>
              <w:t>FSMS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highlight w:val="yellow"/>
                <w:lang w:val="en-US" w:eastAsia="zh-CN" w:bidi="ar-SA"/>
              </w:rPr>
            </w:pPr>
            <w:r>
              <w:rPr>
                <w:rFonts w:hint="eastAsia" w:ascii="Times New Roman" w:hAnsi="Times New Roman" w:eastAsia="宋体" w:cs="Times New Roman"/>
                <w:b w:val="0"/>
                <w:kern w:val="2"/>
                <w:sz w:val="22"/>
                <w:szCs w:val="22"/>
                <w:highlight w:val="none"/>
                <w:lang w:val="en-US" w:eastAsia="zh-CN" w:bidi="ar-SA"/>
              </w:rPr>
              <w:t xml:space="preserve">Production of </w:t>
            </w:r>
            <w:r>
              <w:rPr>
                <w:rFonts w:hint="eastAsia" w:cs="Times New Roman"/>
                <w:b w:val="0"/>
                <w:kern w:val="2"/>
                <w:sz w:val="22"/>
                <w:szCs w:val="22"/>
                <w:highlight w:val="none"/>
                <w:lang w:val="en-US" w:eastAsia="zh-CN" w:bidi="ar-SA"/>
              </w:rPr>
              <w:t>F</w:t>
            </w:r>
            <w:r>
              <w:rPr>
                <w:rFonts w:hint="eastAsia" w:ascii="Times New Roman" w:hAnsi="Times New Roman" w:eastAsia="宋体" w:cs="Times New Roman"/>
                <w:b w:val="0"/>
                <w:kern w:val="2"/>
                <w:sz w:val="22"/>
                <w:szCs w:val="22"/>
                <w:highlight w:val="none"/>
                <w:lang w:val="en-US" w:eastAsia="zh-CN" w:bidi="ar-SA"/>
              </w:rPr>
              <w:t xml:space="preserve">ood </w:t>
            </w:r>
            <w:r>
              <w:rPr>
                <w:rFonts w:hint="eastAsia" w:cs="Times New Roman"/>
                <w:b w:val="0"/>
                <w:kern w:val="2"/>
                <w:sz w:val="22"/>
                <w:szCs w:val="22"/>
                <w:highlight w:val="none"/>
                <w:lang w:val="en-US" w:eastAsia="zh-CN" w:bidi="ar-SA"/>
              </w:rPr>
              <w:t>A</w:t>
            </w:r>
            <w:r>
              <w:rPr>
                <w:rFonts w:hint="eastAsia" w:ascii="Times New Roman" w:hAnsi="Times New Roman" w:eastAsia="宋体" w:cs="Times New Roman"/>
                <w:b w:val="0"/>
                <w:kern w:val="2"/>
                <w:sz w:val="22"/>
                <w:szCs w:val="22"/>
                <w:highlight w:val="none"/>
                <w:lang w:val="en-US" w:eastAsia="zh-CN" w:bidi="ar-SA"/>
              </w:rPr>
              <w:t>dditives (</w:t>
            </w:r>
            <w:r>
              <w:rPr>
                <w:rFonts w:hint="eastAsia" w:cs="Times New Roman"/>
                <w:b w:val="0"/>
                <w:kern w:val="2"/>
                <w:sz w:val="22"/>
                <w:szCs w:val="22"/>
                <w:highlight w:val="none"/>
                <w:lang w:val="en-US" w:eastAsia="zh-CN" w:bidi="ar-SA"/>
              </w:rPr>
              <w:t>C</w:t>
            </w:r>
            <w:r>
              <w:rPr>
                <w:rFonts w:hint="eastAsia" w:ascii="Times New Roman" w:hAnsi="Times New Roman" w:eastAsia="宋体" w:cs="Times New Roman"/>
                <w:b w:val="0"/>
                <w:kern w:val="2"/>
                <w:sz w:val="22"/>
                <w:szCs w:val="22"/>
                <w:highlight w:val="none"/>
                <w:lang w:val="en-US" w:eastAsia="zh-CN" w:bidi="ar-SA"/>
              </w:rPr>
              <w:t xml:space="preserve">alcium </w:t>
            </w:r>
            <w:r>
              <w:rPr>
                <w:rFonts w:hint="eastAsia" w:cs="Times New Roman"/>
                <w:b w:val="0"/>
                <w:kern w:val="2"/>
                <w:sz w:val="22"/>
                <w:szCs w:val="22"/>
                <w:highlight w:val="none"/>
                <w:lang w:val="en-US" w:eastAsia="zh-CN" w:bidi="ar-SA"/>
              </w:rPr>
              <w:t>C</w:t>
            </w:r>
            <w:r>
              <w:rPr>
                <w:rFonts w:hint="eastAsia" w:ascii="Times New Roman" w:hAnsi="Times New Roman" w:eastAsia="宋体" w:cs="Times New Roman"/>
                <w:b w:val="0"/>
                <w:kern w:val="2"/>
                <w:sz w:val="22"/>
                <w:szCs w:val="22"/>
                <w:highlight w:val="none"/>
                <w:lang w:val="en-US" w:eastAsia="zh-CN" w:bidi="ar-SA"/>
              </w:rPr>
              <w:t>arbonate [</w:t>
            </w:r>
            <w:r>
              <w:rPr>
                <w:rFonts w:hint="eastAsia" w:cs="Times New Roman"/>
                <w:b w:val="0"/>
                <w:kern w:val="2"/>
                <w:sz w:val="22"/>
                <w:szCs w:val="22"/>
                <w:highlight w:val="none"/>
                <w:lang w:val="en-US" w:eastAsia="zh-CN" w:bidi="ar-SA"/>
              </w:rPr>
              <w:t>H</w:t>
            </w:r>
            <w:r>
              <w:rPr>
                <w:rFonts w:hint="eastAsia" w:ascii="Times New Roman" w:hAnsi="Times New Roman" w:eastAsia="宋体" w:cs="Times New Roman"/>
                <w:b w:val="0"/>
                <w:kern w:val="2"/>
                <w:sz w:val="22"/>
                <w:szCs w:val="22"/>
                <w:highlight w:val="none"/>
                <w:lang w:val="en-US" w:eastAsia="zh-CN" w:bidi="ar-SA"/>
              </w:rPr>
              <w:t xml:space="preserve">eavy </w:t>
            </w:r>
            <w:r>
              <w:rPr>
                <w:rFonts w:hint="eastAsia" w:cs="Times New Roman"/>
                <w:b w:val="0"/>
                <w:kern w:val="2"/>
                <w:sz w:val="22"/>
                <w:szCs w:val="22"/>
                <w:highlight w:val="none"/>
                <w:lang w:val="en-US" w:eastAsia="zh-CN" w:bidi="ar-SA"/>
              </w:rPr>
              <w:t>C</w:t>
            </w:r>
            <w:r>
              <w:rPr>
                <w:rFonts w:hint="eastAsia" w:ascii="Times New Roman" w:hAnsi="Times New Roman" w:eastAsia="宋体" w:cs="Times New Roman"/>
                <w:b w:val="0"/>
                <w:kern w:val="2"/>
                <w:sz w:val="22"/>
                <w:szCs w:val="22"/>
                <w:highlight w:val="none"/>
                <w:lang w:val="en-US" w:eastAsia="zh-CN" w:bidi="ar-SA"/>
              </w:rPr>
              <w:t xml:space="preserve">alcium </w:t>
            </w:r>
            <w:r>
              <w:rPr>
                <w:rFonts w:hint="eastAsia" w:cs="Times New Roman"/>
                <w:b w:val="0"/>
                <w:kern w:val="2"/>
                <w:sz w:val="22"/>
                <w:szCs w:val="22"/>
                <w:highlight w:val="none"/>
                <w:lang w:val="en-US" w:eastAsia="zh-CN" w:bidi="ar-SA"/>
              </w:rPr>
              <w:t>C</w:t>
            </w:r>
            <w:r>
              <w:rPr>
                <w:rFonts w:hint="eastAsia" w:ascii="Times New Roman" w:hAnsi="Times New Roman" w:eastAsia="宋体" w:cs="Times New Roman"/>
                <w:b w:val="0"/>
                <w:kern w:val="2"/>
                <w:sz w:val="22"/>
                <w:szCs w:val="22"/>
                <w:highlight w:val="none"/>
                <w:lang w:val="en-US" w:eastAsia="zh-CN" w:bidi="ar-SA"/>
              </w:rPr>
              <w:t xml:space="preserve">arbonate (I)], </w:t>
            </w:r>
            <w:r>
              <w:rPr>
                <w:rFonts w:hint="eastAsia" w:cs="Times New Roman"/>
                <w:b w:val="0"/>
                <w:kern w:val="2"/>
                <w:sz w:val="22"/>
                <w:szCs w:val="22"/>
                <w:highlight w:val="none"/>
                <w:lang w:val="en-US" w:eastAsia="zh-CN" w:bidi="ar-SA"/>
              </w:rPr>
              <w:t>C</w:t>
            </w:r>
            <w:r>
              <w:rPr>
                <w:rFonts w:hint="eastAsia" w:ascii="Times New Roman" w:hAnsi="Times New Roman" w:eastAsia="宋体" w:cs="Times New Roman"/>
                <w:b w:val="0"/>
                <w:kern w:val="2"/>
                <w:sz w:val="22"/>
                <w:szCs w:val="22"/>
                <w:highlight w:val="none"/>
                <w:lang w:val="en-US" w:eastAsia="zh-CN" w:bidi="ar-SA"/>
              </w:rPr>
              <w:t xml:space="preserve">alcium </w:t>
            </w:r>
            <w:r>
              <w:rPr>
                <w:rFonts w:hint="eastAsia" w:cs="Times New Roman"/>
                <w:b w:val="0"/>
                <w:kern w:val="2"/>
                <w:sz w:val="22"/>
                <w:szCs w:val="22"/>
                <w:highlight w:val="none"/>
                <w:lang w:val="en-US" w:eastAsia="zh-CN" w:bidi="ar-SA"/>
              </w:rPr>
              <w:t>H</w:t>
            </w:r>
            <w:r>
              <w:rPr>
                <w:rFonts w:hint="eastAsia" w:ascii="Times New Roman" w:hAnsi="Times New Roman" w:eastAsia="宋体" w:cs="Times New Roman"/>
                <w:b w:val="0"/>
                <w:kern w:val="2"/>
                <w:sz w:val="22"/>
                <w:szCs w:val="22"/>
                <w:highlight w:val="none"/>
                <w:lang w:val="en-US" w:eastAsia="zh-CN" w:bidi="ar-SA"/>
              </w:rPr>
              <w:t xml:space="preserve">ydroxide) in the </w:t>
            </w:r>
            <w:r>
              <w:rPr>
                <w:rFonts w:hint="eastAsia" w:cs="Times New Roman"/>
                <w:b w:val="0"/>
                <w:kern w:val="2"/>
                <w:sz w:val="22"/>
                <w:szCs w:val="22"/>
                <w:highlight w:val="none"/>
                <w:lang w:val="en-US" w:eastAsia="zh-CN" w:bidi="ar-SA"/>
              </w:rPr>
              <w:t>P</w:t>
            </w:r>
            <w:r>
              <w:rPr>
                <w:rFonts w:hint="eastAsia" w:ascii="Times New Roman" w:hAnsi="Times New Roman" w:eastAsia="宋体" w:cs="Times New Roman"/>
                <w:b w:val="0"/>
                <w:kern w:val="2"/>
                <w:sz w:val="22"/>
                <w:szCs w:val="22"/>
                <w:highlight w:val="none"/>
                <w:lang w:val="en-US" w:eastAsia="zh-CN" w:bidi="ar-SA"/>
              </w:rPr>
              <w:t xml:space="preserve">roduction </w:t>
            </w:r>
            <w:r>
              <w:rPr>
                <w:rFonts w:hint="eastAsia" w:cs="Times New Roman"/>
                <w:b w:val="0"/>
                <w:kern w:val="2"/>
                <w:sz w:val="22"/>
                <w:szCs w:val="22"/>
                <w:highlight w:val="none"/>
                <w:lang w:val="en-US" w:eastAsia="zh-CN" w:bidi="ar-SA"/>
              </w:rPr>
              <w:t>W</w:t>
            </w:r>
            <w:r>
              <w:rPr>
                <w:rFonts w:hint="eastAsia" w:ascii="Times New Roman" w:hAnsi="Times New Roman" w:eastAsia="宋体" w:cs="Times New Roman"/>
                <w:b w:val="0"/>
                <w:kern w:val="2"/>
                <w:sz w:val="22"/>
                <w:szCs w:val="22"/>
                <w:highlight w:val="none"/>
                <w:lang w:val="en-US" w:eastAsia="zh-CN" w:bidi="ar-SA"/>
              </w:rPr>
              <w:t>orkshop of Jiande Xinglong Calcium Powder Co., Ltd., Lingqi Village, Hangtou Town, Jiande City, Hangzhou City, Zhejiang Province</w:t>
            </w:r>
            <w:r>
              <w:rPr>
                <w:rFonts w:hint="eastAsia" w:cs="Times New Roman"/>
                <w:b w:val="0"/>
                <w:kern w:val="2"/>
                <w:sz w:val="22"/>
                <w:szCs w:val="22"/>
                <w:highlight w:val="none"/>
                <w:lang w:val="en-US" w:eastAsia="zh-CN" w:bidi="ar-SA"/>
              </w:rPr>
              <w:t>, China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bookmarkStart w:id="20" w:name="_GoBack"/>
      <w:bookmarkEnd w:id="20"/>
    </w:p>
    <w:p>
      <w:pPr>
        <w:pStyle w:val="2"/>
        <w:spacing w:line="0" w:lineRule="atLeast"/>
        <w:ind w:firstLine="0"/>
        <w:rPr>
          <w:rFonts w:hint="eastAsia"/>
          <w:b/>
          <w:color w:val="000000" w:themeColor="text1"/>
          <w:sz w:val="18"/>
          <w:szCs w:val="18"/>
          <w:lang w:val="en-GB" w:eastAsia="zh-CN"/>
          <w14:textFill>
            <w14:solidFill>
              <w14:schemeClr w14:val="tx1"/>
            </w14:solidFill>
          </w14:textFill>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2"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rFonts w:hint="eastAsia"/>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QCwI2AAAAAkBAAAPAAAAAAAAAAEAIAAAACIAAABkcnMvZG93bnJl&#10;di54bWxQSwECFAAUAAAACACHTuJAZ6JavMQBAAB6AwAADgAAAAAAAAABACAAAAAnAQAAZHJzL2Uy&#10;b0RvYy54bWxQSwUGAAAAAAYABgBZAQAAXQUAAAAA&#10;">
              <v:fill on="t" focussize="0,0"/>
              <v:stroke on="f"/>
              <v:imagedata o:title=""/>
              <o:lock v:ext="edit" aspectratio="f"/>
              <v:textbox>
                <w:txbxContent>
                  <w:p>
                    <w:pPr>
                      <w:rPr>
                        <w:rFonts w:hint="eastAsia"/>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F4A56"/>
    <w:rsid w:val="3A455E84"/>
    <w:rsid w:val="40EE0FD1"/>
    <w:rsid w:val="4DF1028A"/>
    <w:rsid w:val="701A4851"/>
    <w:rsid w:val="762D3F01"/>
    <w:rsid w:val="7F5B2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5</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2021-09-16T05:47:44Z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BE3785C953144CA39F1EECA76BB3B1E1</vt:lpwstr>
  </property>
  <property fmtid="{D5CDD505-2E9C-101B-9397-08002B2CF9AE}" pid="3" name="KSOProductBuildVer">
    <vt:lpwstr>2052-11.1.0.10700</vt:lpwstr>
  </property>
</Properties>
</file>