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939"/>
        <w:gridCol w:w="1547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93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重庆富燊机械制造有限公司</w:t>
            </w:r>
            <w:bookmarkEnd w:id="11"/>
          </w:p>
        </w:tc>
        <w:tc>
          <w:tcPr>
            <w:tcW w:w="154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18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邓松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93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营销部</w:t>
            </w:r>
          </w:p>
        </w:tc>
        <w:tc>
          <w:tcPr>
            <w:tcW w:w="154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18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2021年10月14日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公司需确认过程识别为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维修服务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过程，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现场未见对该过程进行确认的记录作为证据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</w:rPr>
              <w:t>。不符合标准GB/T19001-2016的8.5.1f)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3" w:name="_GoBack"/>
            <w:bookmarkEnd w:id="1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89535</wp:posOffset>
                  </wp:positionV>
                  <wp:extent cx="371475" cy="341630"/>
                  <wp:effectExtent l="0" t="0" r="9525" b="889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3048000</wp:posOffset>
                  </wp:positionH>
                  <wp:positionV relativeFrom="paragraph">
                    <wp:posOffset>97790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 xml:space="preserve">2021年10月12日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hint="eastAsia"/>
                <w:b/>
                <w:sz w:val="20"/>
              </w:rPr>
              <w:t xml:space="preserve">2021年10月12日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 xml:space="preserve">2021年10月12日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184247"/>
    <w:rsid w:val="39384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2021-10-12T05:02:51Z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