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0372-2019-E-2021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陕西秦航机械制造有限责任公司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陕西秦航机械制造有限责任公司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陕西省咸阳市永寿县火车站大街</w:t>
            </w:r>
            <w:bookmarkEnd w:id="6"/>
          </w:p>
        </w:tc>
        <w:tc>
          <w:tcPr>
            <w:tcW w:w="1242" w:type="dxa"/>
            <w:vMerge w:val="restart"/>
            <w:vAlign w:val="center"/>
          </w:tcPr>
          <w:p>
            <w:r>
              <w:rPr>
                <w:rFonts w:hint="eastAsia"/>
              </w:rPr>
              <w:t>邮编</w:t>
            </w:r>
          </w:p>
        </w:tc>
        <w:tc>
          <w:tcPr>
            <w:tcW w:w="1771" w:type="dxa"/>
          </w:tcPr>
          <w:p>
            <w:bookmarkStart w:id="7" w:name="注册邮编"/>
            <w:r>
              <w:t>713400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陕西省咸阳市永寿县火车站大街</w:t>
            </w:r>
            <w:bookmarkEnd w:id="8"/>
          </w:p>
        </w:tc>
        <w:tc>
          <w:tcPr>
            <w:tcW w:w="1242" w:type="dxa"/>
            <w:vMerge w:val="continue"/>
            <w:vAlign w:val="center"/>
          </w:tcPr>
          <w:p/>
        </w:tc>
        <w:tc>
          <w:tcPr>
            <w:tcW w:w="1771" w:type="dxa"/>
          </w:tcPr>
          <w:p>
            <w:bookmarkStart w:id="9" w:name="办公邮编"/>
            <w:r>
              <w:t>713400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董旭辉</w:t>
            </w:r>
            <w:bookmarkEnd w:id="10"/>
          </w:p>
        </w:tc>
        <w:tc>
          <w:tcPr>
            <w:tcW w:w="1313" w:type="dxa"/>
            <w:vAlign w:val="center"/>
          </w:tcPr>
          <w:p>
            <w:r>
              <w:rPr>
                <w:rFonts w:hint="eastAsia"/>
              </w:rPr>
              <w:t>电话.</w:t>
            </w:r>
          </w:p>
        </w:tc>
        <w:tc>
          <w:tcPr>
            <w:tcW w:w="2180" w:type="dxa"/>
            <w:vAlign w:val="center"/>
          </w:tcPr>
          <w:p>
            <w:bookmarkStart w:id="11" w:name="联系人电话"/>
            <w:r>
              <w:t>029-38612527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王斌</w:t>
            </w:r>
            <w:bookmarkEnd w:id="13"/>
          </w:p>
        </w:tc>
        <w:tc>
          <w:tcPr>
            <w:tcW w:w="1313" w:type="dxa"/>
            <w:vAlign w:val="center"/>
          </w:tcPr>
          <w:p>
            <w:r>
              <w:rPr>
                <w:rFonts w:hint="eastAsia"/>
              </w:rPr>
              <w:t>管理者代表</w:t>
            </w:r>
          </w:p>
        </w:tc>
        <w:tc>
          <w:tcPr>
            <w:tcW w:w="2180" w:type="dxa"/>
          </w:tcPr>
          <w:p>
            <w:bookmarkStart w:id="14" w:name="管理者代表"/>
            <w:r>
              <w:t>董旭辉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白模制作→造型→熔炼→浇注→清理→检验→入库。</w:t>
            </w:r>
          </w:p>
          <w:p>
            <w:pPr>
              <w:pStyle w:val="2"/>
              <w:rPr>
                <w:rFonts w:hint="eastAsia" w:eastAsia="宋体"/>
                <w:lang w:eastAsia="zh-CN"/>
              </w:rPr>
            </w:pPr>
            <w:r>
              <w:rPr>
                <w:rFonts w:hint="eastAsia" w:ascii="Times New Roman" w:hAnsi="Times New Roman" w:eastAsia="宋体" w:cs="Times New Roman"/>
                <w:bCs w:val="0"/>
                <w:spacing w:val="0"/>
                <w:kern w:val="2"/>
                <w:sz w:val="21"/>
                <w:szCs w:val="24"/>
                <w:lang w:val="en-US" w:eastAsia="zh-CN" w:bidi="ar-SA"/>
              </w:rPr>
              <w:t>原材料→车工工序（内外径、平面、止口）→加工中心（钻孔、镗孔、铣孔）→清洗、检验、包装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2021年09月14日 上午至2021年09月14日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汽车零部件：平衡轴支架平衡轴壳类铸件、活气缸缸体制造其场所所涉及的环境管理活动。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宋体" w:hAnsi="宋体"/>
                <w:szCs w:val="21"/>
              </w:rPr>
              <w:t>2019年3月1日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陕西秦航机械制造有限责任公司</w:t>
            </w:r>
            <w:r>
              <w:rPr>
                <w:rFonts w:hint="eastAsia"/>
                <w:lang w:val="en-US" w:eastAsia="zh-CN"/>
              </w:rPr>
              <w:t>/</w:t>
            </w:r>
            <w:r>
              <w:t>陕西省咸阳市永寿县火车站大街</w:t>
            </w:r>
          </w:p>
        </w:tc>
        <w:tc>
          <w:tcPr>
            <w:tcW w:w="2267" w:type="dxa"/>
          </w:tcPr>
          <w:p>
            <w:pPr>
              <w:rPr>
                <w:lang w:val="de-DE" w:eastAsia="ja-JP"/>
              </w:rPr>
            </w:pPr>
            <w:r>
              <w:t>陕西省咸阳市永寿县火车站大街</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lang w:eastAsia="ja-JP"/>
              </w:rPr>
            </w:pPr>
            <w:r>
              <w:rPr>
                <w:rFonts w:hint="eastAsia"/>
              </w:rPr>
              <w:t>汽车零部件：平衡轴支架平衡轴壳类铸件、活气缸缸体制造其场所所涉及的环境管理活动。</w:t>
            </w:r>
          </w:p>
        </w:tc>
        <w:tc>
          <w:tcPr>
            <w:tcW w:w="669" w:type="dxa"/>
            <w:vAlign w:val="center"/>
          </w:tcPr>
          <w:p>
            <w:pPr>
              <w:rPr>
                <w:lang w:eastAsia="ja-JP"/>
              </w:rPr>
            </w:pPr>
            <w:r>
              <w:rPr>
                <w:rFonts w:hint="eastAsia"/>
                <w:lang w:val="de-DE"/>
              </w:rPr>
              <w:t>GB/T24001-2016</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pPr>
        <w:rPr>
          <w:rFonts w:hint="eastAsia"/>
        </w:rPr>
      </w:pPr>
      <w:r>
        <w:rPr>
          <w:rFonts w:hint="eastAsia"/>
        </w:rPr>
        <w:t>在本次审核过程中，评审了现有管理体系和管理体系文件中这些变化的实施情况。</w:t>
      </w:r>
    </w:p>
    <w:p>
      <w:pPr>
        <w:pStyle w:val="2"/>
        <w:rPr>
          <w:rFonts w:hint="eastAsia"/>
        </w:rPr>
      </w:pPr>
    </w:p>
    <w:p>
      <w:pPr>
        <w:pStyle w:val="2"/>
        <w:rPr>
          <w:rFonts w:hint="eastAsia"/>
        </w:rPr>
      </w:pPr>
    </w:p>
    <w:p>
      <w:pPr>
        <w:pStyle w:val="2"/>
        <w:rPr>
          <w:rFonts w:hint="eastAsia"/>
        </w:rPr>
      </w:pPr>
    </w:p>
    <w:p/>
    <w:p>
      <w:pPr>
        <w:numPr>
          <w:ilvl w:val="0"/>
          <w:numId w:val="1"/>
        </w:numPr>
      </w:pPr>
      <w:r>
        <w:t>审核发现</w:t>
      </w:r>
      <w:r>
        <w:rPr>
          <w:rFonts w:hint="eastAsia"/>
        </w:rPr>
        <w:t xml:space="preserve">（见 □QMS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eastAsia="宋体"/>
                <w:lang w:eastAsia="zh-CN"/>
              </w:rPr>
              <w:drawing>
                <wp:anchor distT="0" distB="0" distL="114300" distR="114300" simplePos="0" relativeHeight="251659264" behindDoc="0" locked="0" layoutInCell="1" allowOverlap="1">
                  <wp:simplePos x="0" y="0"/>
                  <wp:positionH relativeFrom="column">
                    <wp:posOffset>-438785</wp:posOffset>
                  </wp:positionH>
                  <wp:positionV relativeFrom="paragraph">
                    <wp:posOffset>-745490</wp:posOffset>
                  </wp:positionV>
                  <wp:extent cx="7414260" cy="10485755"/>
                  <wp:effectExtent l="0" t="0" r="2540" b="4445"/>
                  <wp:wrapNone/>
                  <wp:docPr id="1" name="图片 1" descr="扫描全能王 2021-09-14 16.1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0_7"/>
                          <pic:cNvPicPr>
                            <a:picLocks noChangeAspect="1"/>
                          </pic:cNvPicPr>
                        </pic:nvPicPr>
                        <pic:blipFill>
                          <a:blip r:embed="rId6"/>
                          <a:stretch>
                            <a:fillRect/>
                          </a:stretch>
                        </pic:blipFill>
                        <pic:spPr>
                          <a:xfrm>
                            <a:off x="0" y="0"/>
                            <a:ext cx="7414260" cy="10485755"/>
                          </a:xfrm>
                          <a:prstGeom prst="rect">
                            <a:avLst/>
                          </a:prstGeom>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rPr>
          <w:rFonts w:hint="eastAsia" w:eastAsia="宋体"/>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 遵守法律、防治污染、降低能耗、持续改进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w:t>
            </w:r>
            <w:r>
              <w:rPr>
                <w:rFonts w:hint="eastAsia" w:ascii="Times New Roman" w:hAnsi="Times New Roman" w:eastAsia="宋体" w:cs="Times New Roman"/>
                <w:u w:val="single"/>
                <w:lang w:val="en-US" w:eastAsia="zh-CN"/>
              </w:rPr>
              <w:t>18</w:t>
            </w:r>
            <w:r>
              <w:rPr>
                <w:rFonts w:hint="eastAsia" w:ascii="Times New Roman" w:hAnsi="Times New Roman" w:eastAsia="宋体" w:cs="Times New Roman"/>
                <w:u w:val="single"/>
              </w:rPr>
              <w:t>年</w:t>
            </w:r>
            <w:r>
              <w:rPr>
                <w:rFonts w:hint="eastAsia" w:ascii="Times New Roman" w:hAnsi="Times New Roman" w:eastAsia="宋体" w:cs="Times New Roman"/>
                <w:u w:val="single"/>
                <w:lang w:val="en-US" w:eastAsia="zh-CN"/>
              </w:rPr>
              <w:t>12</w:t>
            </w:r>
            <w:r>
              <w:rPr>
                <w:rFonts w:hint="eastAsia" w:ascii="Times New Roman" w:hAnsi="Times New Roman" w:eastAsia="宋体" w:cs="Times New Roman"/>
                <w:u w:val="single"/>
              </w:rPr>
              <w:t>月</w:t>
            </w:r>
            <w:r>
              <w:rPr>
                <w:rFonts w:hint="eastAsia" w:ascii="Times New Roman" w:hAnsi="Times New Roman" w:eastAsia="宋体" w:cs="Times New Roman"/>
                <w:u w:val="single"/>
                <w:lang w:val="en-US" w:eastAsia="zh-CN"/>
              </w:rPr>
              <w:t>14</w:t>
            </w:r>
            <w:r>
              <w:rPr>
                <w:rFonts w:hint="eastAsia" w:ascii="Times New Roman" w:hAnsi="Times New Roman" w:eastAsia="宋体" w:cs="Times New Roman"/>
                <w:u w:val="single"/>
              </w:rPr>
              <w:t>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rPr>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lang w:val="en-US" w:eastAsia="zh-CN"/>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color w:val="auto"/>
                      <w:lang w:val="en-GB"/>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rPr>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color w:val="auto"/>
                    </w:rPr>
                  </w:pPr>
                  <w:r>
                    <w:rPr>
                      <w:rFonts w:hint="eastAsia" w:ascii="宋体" w:hAnsi="宋体" w:eastAsia="宋体" w:cs="Times New Roman"/>
                      <w:bCs/>
                      <w:color w:val="auto"/>
                      <w:kern w:val="2"/>
                      <w:sz w:val="21"/>
                      <w:szCs w:val="21"/>
                    </w:rPr>
                    <w:t>生产废气、粉尘集尘处理率100%</w:t>
                  </w:r>
                </w:p>
              </w:tc>
              <w:tc>
                <w:tcPr>
                  <w:tcW w:w="3136" w:type="dxa"/>
                  <w:shd w:val="clear" w:color="auto" w:fill="auto"/>
                  <w:vAlign w:val="center"/>
                </w:tcPr>
                <w:p>
                  <w:pPr>
                    <w:shd w:val="clear" w:color="auto" w:fill="EBF1DE" w:themeFill="accent3" w:themeFillTint="32"/>
                    <w:rPr>
                      <w:rFonts w:hint="eastAsia" w:ascii="宋体" w:hAnsi="宋体" w:eastAsia="宋体"/>
                      <w:color w:val="auto"/>
                      <w:lang w:val="en-US" w:eastAsia="zh-CN"/>
                    </w:rPr>
                  </w:pPr>
                  <w:r>
                    <w:rPr>
                      <w:rFonts w:hint="eastAsia" w:ascii="宋体" w:hAnsi="宋体"/>
                      <w:color w:val="auto"/>
                      <w:lang w:val="en-US" w:eastAsia="zh-CN"/>
                    </w:rPr>
                    <w:t>加废气处理设备、强食堂油烟处理设备有效运行</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rPr>
                  </w:pPr>
                  <w:r>
                    <w:rPr>
                      <w:rFonts w:hint="eastAsia" w:ascii="宋体" w:hAnsi="宋体" w:eastAsia="宋体" w:cs="Times New Roman"/>
                      <w:bCs/>
                      <w:color w:val="auto"/>
                      <w:kern w:val="2"/>
                      <w:sz w:val="21"/>
                      <w:szCs w:val="21"/>
                    </w:rPr>
                    <w:t>设备隔音处理率100%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lang w:val="en-US" w:eastAsia="zh-CN"/>
                    </w:rPr>
                  </w:pPr>
                  <w:r>
                    <w:rPr>
                      <w:rFonts w:hint="eastAsia" w:ascii="宋体" w:hAnsi="宋体"/>
                      <w:color w:val="auto"/>
                      <w:lang w:val="en-US" w:eastAsia="zh-CN"/>
                    </w:rPr>
                    <w:t>增加设备隔音设施</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color w:val="auto"/>
                    </w:rPr>
                  </w:pPr>
                  <w:r>
                    <w:rPr>
                      <w:rFonts w:hint="eastAsia" w:ascii="宋体" w:hAnsi="宋体" w:eastAsia="宋体" w:cs="Times New Roman"/>
                      <w:bCs/>
                      <w:color w:val="auto"/>
                      <w:kern w:val="2"/>
                      <w:sz w:val="21"/>
                      <w:szCs w:val="21"/>
                    </w:rPr>
                    <w:t>化学品泄露率为0</w:t>
                  </w:r>
                </w:p>
              </w:tc>
              <w:tc>
                <w:tcPr>
                  <w:tcW w:w="3136"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color w:val="auto"/>
                      <w:lang w:val="en-US" w:eastAsia="zh-CN"/>
                    </w:rPr>
                    <w:t>加强化学品的日常管理</w:t>
                  </w:r>
                </w:p>
              </w:tc>
              <w:tc>
                <w:tcPr>
                  <w:tcW w:w="1350" w:type="dxa"/>
                  <w:shd w:val="clear" w:color="auto" w:fill="auto"/>
                  <w:vAlign w:val="center"/>
                </w:tcPr>
                <w:p>
                  <w:pPr>
                    <w:shd w:val="clear" w:color="auto" w:fill="EBF1DE" w:themeFill="accent3" w:themeFillTint="32"/>
                    <w:rPr>
                      <w:rFonts w:hint="default" w:ascii="宋体" w:hAnsi="宋体"/>
                      <w:color w:val="auto"/>
                      <w:lang w:val="en-US"/>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建筑面积：4.6万平方米；生产车间：6个，库房：4个库房  实验中心1个；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硫化机、密炼机、开炼机、加工中心等</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布袋粉尘收集设施、灭火器、UV气体处理设施</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宋体" w:hAnsi="宋体" w:eastAsia="宋体" w:cs="宋体"/>
              </w:rPr>
              <w:t>■</w:t>
            </w:r>
            <w:r>
              <w:rPr>
                <w:rFonts w:hint="eastAsia"/>
              </w:rPr>
              <w:t xml:space="preserve">电梯  </w:t>
            </w:r>
            <w:r>
              <w:rPr>
                <w:rFonts w:hint="eastAsia" w:ascii="宋体" w:hAnsi="宋体" w:eastAsia="宋体" w:cs="宋体"/>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宋体" w:hAnsi="宋体" w:eastAsia="宋体" w:cs="宋体"/>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宋体" w:hAnsi="宋体" w:eastAsia="宋体" w:cs="宋体"/>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宋体" w:hAnsi="宋体" w:eastAsia="宋体" w:cs="宋体"/>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宋体" w:hAnsi="宋体" w:eastAsia="宋体" w:cs="宋体"/>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采用了封闭</w:t>
                  </w:r>
                  <w:r>
                    <w:rPr>
                      <w:color w:val="000000" w:themeColor="text1"/>
                      <w:spacing w:val="0"/>
                      <w:w w:val="100"/>
                      <w:position w:val="0"/>
                      <w:sz w:val="20"/>
                      <w:szCs w:val="20"/>
                    </w:rPr>
                    <w:t>在</w:t>
                  </w:r>
                  <w:r>
                    <w:rPr>
                      <w:rFonts w:hint="eastAsia"/>
                      <w:color w:val="000000" w:themeColor="text1"/>
                      <w:spacing w:val="0"/>
                      <w:w w:val="100"/>
                      <w:position w:val="0"/>
                      <w:sz w:val="20"/>
                      <w:szCs w:val="20"/>
                      <w:lang w:val="en-US" w:eastAsia="zh-CN"/>
                    </w:rPr>
                    <w:t>硫化</w:t>
                  </w:r>
                  <w:r>
                    <w:rPr>
                      <w:color w:val="000000" w:themeColor="text1"/>
                      <w:spacing w:val="0"/>
                      <w:w w:val="100"/>
                      <w:position w:val="0"/>
                      <w:sz w:val="20"/>
                      <w:szCs w:val="20"/>
                    </w:rPr>
                    <w:t>过程产生的有机 废气，</w:t>
                  </w:r>
                  <w:r>
                    <w:rPr>
                      <w:rFonts w:hint="eastAsia"/>
                      <w:color w:val="000000" w:themeColor="text1"/>
                      <w:spacing w:val="0"/>
                      <w:w w:val="100"/>
                      <w:position w:val="0"/>
                      <w:sz w:val="20"/>
                      <w:szCs w:val="20"/>
                      <w:lang w:val="en-US" w:eastAsia="zh-CN"/>
                    </w:rPr>
                    <w:t>采用</w:t>
                  </w:r>
                  <w:r>
                    <w:rPr>
                      <w:color w:val="000000" w:themeColor="text1"/>
                      <w:spacing w:val="0"/>
                      <w:w w:val="100"/>
                      <w:position w:val="0"/>
                      <w:sz w:val="20"/>
                      <w:szCs w:val="20"/>
                      <w:lang w:val="zh-CN" w:eastAsia="zh-CN" w:bidi="zh-CN"/>
                    </w:rPr>
                    <w:t xml:space="preserve">活 </w:t>
                  </w:r>
                  <w:r>
                    <w:rPr>
                      <w:color w:val="000000" w:themeColor="text1"/>
                      <w:spacing w:val="0"/>
                      <w:w w:val="100"/>
                      <w:position w:val="0"/>
                      <w:sz w:val="20"/>
                      <w:szCs w:val="20"/>
                    </w:rPr>
                    <w:t>性炭</w:t>
                  </w:r>
                  <w:r>
                    <w:rPr>
                      <w:rFonts w:ascii="Times New Roman" w:hAnsi="Times New Roman" w:eastAsia="Times New Roman" w:cs="Times New Roman"/>
                      <w:color w:val="000000" w:themeColor="text1"/>
                      <w:spacing w:val="0"/>
                      <w:w w:val="100"/>
                      <w:position w:val="0"/>
                      <w:sz w:val="20"/>
                      <w:szCs w:val="20"/>
                      <w:lang w:val="en-US" w:eastAsia="en-US" w:bidi="en-US"/>
                    </w:rPr>
                    <w:t>+UV</w:t>
                  </w:r>
                  <w:r>
                    <w:rPr>
                      <w:color w:val="000000" w:themeColor="text1"/>
                      <w:spacing w:val="0"/>
                      <w:w w:val="100"/>
                      <w:position w:val="0"/>
                      <w:sz w:val="20"/>
                      <w:szCs w:val="20"/>
                    </w:rPr>
                    <w:t>光解”工艺，根据设备 分布情况、产生废气的工位大小、 集气风速，废气经处理后通 过</w:t>
                  </w:r>
                  <w:r>
                    <w:rPr>
                      <w:rFonts w:ascii="Times New Roman" w:hAnsi="Times New Roman" w:eastAsia="Times New Roman" w:cs="Times New Roman"/>
                      <w:color w:val="000000" w:themeColor="text1"/>
                      <w:spacing w:val="0"/>
                      <w:w w:val="100"/>
                      <w:position w:val="0"/>
                      <w:sz w:val="20"/>
                      <w:szCs w:val="20"/>
                      <w:lang w:val="en-US" w:eastAsia="en-US" w:bidi="en-US"/>
                    </w:rPr>
                    <w:t>15m</w:t>
                  </w:r>
                  <w:r>
                    <w:rPr>
                      <w:color w:val="000000" w:themeColor="text1"/>
                      <w:spacing w:val="0"/>
                      <w:w w:val="100"/>
                      <w:position w:val="0"/>
                      <w:sz w:val="20"/>
                      <w:szCs w:val="20"/>
                    </w:rPr>
                    <w:t>高排气筒</w:t>
                  </w:r>
                  <w:r>
                    <w:rPr>
                      <w:rFonts w:hint="eastAsia"/>
                      <w:color w:val="000000" w:themeColor="text1"/>
                      <w:spacing w:val="0"/>
                      <w:w w:val="100"/>
                      <w:position w:val="0"/>
                      <w:sz w:val="20"/>
                      <w:szCs w:val="20"/>
                      <w:lang w:val="en-US" w:eastAsia="zh-CN"/>
                    </w:rPr>
                    <w:t>达标</w:t>
                  </w:r>
                  <w:r>
                    <w:rPr>
                      <w:color w:val="000000" w:themeColor="text1"/>
                      <w:spacing w:val="0"/>
                      <w:w w:val="100"/>
                      <w:position w:val="0"/>
                      <w:sz w:val="20"/>
                      <w:szCs w:val="20"/>
                    </w:rPr>
                    <w:t>排放</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目模切、分条工序会产生一定 量的不干胶边角料，</w:t>
                  </w:r>
                  <w:r>
                    <w:rPr>
                      <w:rFonts w:hint="eastAsia"/>
                      <w:lang w:val="en-US" w:eastAsia="zh-CN"/>
                    </w:rPr>
                    <w:t>布条、地毯、木碎、面纱，</w:t>
                  </w:r>
                  <w:r>
                    <w:t>统一收集后 交由资源回收单位回收利用</w:t>
                  </w:r>
                  <w:r>
                    <w:rPr>
                      <w:rFonts w:hint="eastAsia"/>
                      <w:lang w:eastAsia="zh-CN"/>
                    </w:rPr>
                    <w:t>；</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布袋除尘收集设施</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电梯</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宋体" w:hAnsi="宋体" w:eastAsia="宋体" w:cs="宋体"/>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正为监（气）字（2021）第0370号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8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010"/>
        <w:gridCol w:w="788"/>
        <w:gridCol w:w="812"/>
        <w:gridCol w:w="850"/>
        <w:gridCol w:w="838"/>
        <w:gridCol w:w="800"/>
        <w:gridCol w:w="800"/>
        <w:gridCol w:w="837"/>
        <w:gridCol w:w="750"/>
        <w:gridCol w:w="66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8"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812"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838"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837"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750"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663"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725"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8" w:type="dxa"/>
            <w:shd w:val="clear" w:color="auto" w:fill="EBF1DE" w:themeFill="accent3" w:themeFillTint="32"/>
            <w:vAlign w:val="center"/>
          </w:tcPr>
          <w:p>
            <w:pPr>
              <w:shd w:val="clear" w:color="auto" w:fill="EBF1DE" w:themeFill="accent3" w:themeFillTint="32"/>
              <w:ind w:firstLine="210" w:firstLineChars="100"/>
              <w:jc w:val="center"/>
              <w:rPr>
                <w:rFonts w:hint="eastAsia" w:eastAsia="宋体"/>
                <w:lang w:val="en-US" w:eastAsia="zh-CN"/>
              </w:rPr>
            </w:pPr>
            <w:r>
              <w:rPr>
                <w:rFonts w:hint="eastAsia"/>
                <w:lang w:val="en-US" w:eastAsia="zh-CN"/>
              </w:rPr>
              <w:t>1</w:t>
            </w:r>
          </w:p>
        </w:tc>
        <w:tc>
          <w:tcPr>
            <w:tcW w:w="812" w:type="dxa"/>
            <w:shd w:val="clear" w:color="auto" w:fill="EBF1DE" w:themeFill="accent3" w:themeFillTint="32"/>
            <w:vAlign w:val="center"/>
          </w:tcPr>
          <w:p>
            <w:pPr>
              <w:shd w:val="clear" w:color="auto" w:fill="EBF1DE" w:themeFill="accent3" w:themeFillTint="32"/>
              <w:ind w:firstLine="210" w:firstLineChars="100"/>
              <w:jc w:val="center"/>
              <w:rPr>
                <w:lang w:eastAsia="ja-JP"/>
              </w:rPr>
            </w:pPr>
            <w:r>
              <w:rPr>
                <w:rFonts w:hint="eastAsia"/>
                <w:lang w:val="en-US" w:eastAsia="zh-CN"/>
              </w:rPr>
              <w:t>1</w:t>
            </w:r>
          </w:p>
        </w:tc>
        <w:tc>
          <w:tcPr>
            <w:tcW w:w="850" w:type="dxa"/>
            <w:shd w:val="clear" w:color="auto" w:fill="EBF1DE" w:themeFill="accent3" w:themeFillTint="32"/>
            <w:vAlign w:val="center"/>
          </w:tcPr>
          <w:p>
            <w:pPr>
              <w:shd w:val="clear" w:color="auto" w:fill="EBF1DE" w:themeFill="accent3" w:themeFillTint="32"/>
              <w:ind w:firstLine="210" w:firstLineChars="100"/>
              <w:jc w:val="center"/>
              <w:rPr>
                <w:lang w:eastAsia="ja-JP"/>
              </w:rPr>
            </w:pPr>
            <w:r>
              <w:rPr>
                <w:rFonts w:hint="eastAsia"/>
                <w:lang w:val="en-US" w:eastAsia="zh-CN"/>
              </w:rPr>
              <w:t>1</w:t>
            </w:r>
          </w:p>
        </w:tc>
        <w:tc>
          <w:tcPr>
            <w:tcW w:w="838"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37"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5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66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25"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8" w:type="dxa"/>
            <w:shd w:val="clear" w:color="auto" w:fill="EBF1DE" w:themeFill="accent3" w:themeFillTint="32"/>
            <w:vAlign w:val="center"/>
          </w:tcPr>
          <w:p>
            <w:pPr>
              <w:shd w:val="clear" w:color="auto" w:fill="EBF1DE" w:themeFill="accent3" w:themeFillTint="32"/>
              <w:jc w:val="center"/>
              <w:rPr>
                <w:lang w:eastAsia="ja-JP"/>
              </w:rPr>
            </w:pPr>
          </w:p>
        </w:tc>
        <w:tc>
          <w:tcPr>
            <w:tcW w:w="812" w:type="dxa"/>
            <w:shd w:val="clear" w:color="auto" w:fill="EBF1DE" w:themeFill="accent3" w:themeFillTint="32"/>
            <w:vAlign w:val="center"/>
          </w:tcPr>
          <w:p>
            <w:pPr>
              <w:shd w:val="clear" w:color="auto" w:fill="EBF1DE" w:themeFill="accent3" w:themeFillTint="32"/>
              <w:jc w:val="center"/>
              <w:rPr>
                <w:lang w:eastAsia="ja-JP"/>
              </w:rPr>
            </w:pPr>
          </w:p>
        </w:tc>
        <w:tc>
          <w:tcPr>
            <w:tcW w:w="850" w:type="dxa"/>
            <w:shd w:val="clear" w:color="auto" w:fill="EBF1DE" w:themeFill="accent3" w:themeFillTint="32"/>
            <w:vAlign w:val="center"/>
          </w:tcPr>
          <w:p>
            <w:pPr>
              <w:shd w:val="clear" w:color="auto" w:fill="EBF1DE" w:themeFill="accent3" w:themeFillTint="32"/>
              <w:jc w:val="center"/>
              <w:rPr>
                <w:lang w:eastAsia="ja-JP"/>
              </w:rPr>
            </w:pPr>
          </w:p>
        </w:tc>
        <w:tc>
          <w:tcPr>
            <w:tcW w:w="838" w:type="dxa"/>
            <w:shd w:val="clear" w:color="auto" w:fill="EBF1DE" w:themeFill="accent3" w:themeFillTint="32"/>
            <w:vAlign w:val="center"/>
          </w:tcPr>
          <w:p>
            <w:pPr>
              <w:shd w:val="clear" w:color="auto" w:fill="EBF1DE" w:themeFill="accent3" w:themeFillTint="32"/>
              <w:jc w:val="center"/>
              <w:rPr>
                <w:lang w:eastAsia="ja-JP"/>
              </w:rPr>
            </w:pPr>
          </w:p>
        </w:tc>
        <w:tc>
          <w:tcPr>
            <w:tcW w:w="800" w:type="dxa"/>
            <w:shd w:val="clear" w:color="auto" w:fill="EBF1DE" w:themeFill="accent3" w:themeFillTint="32"/>
            <w:vAlign w:val="center"/>
          </w:tcPr>
          <w:p>
            <w:pPr>
              <w:shd w:val="clear" w:color="auto" w:fill="EBF1DE" w:themeFill="accent3" w:themeFillTint="32"/>
              <w:jc w:val="center"/>
              <w:rPr>
                <w:lang w:eastAsia="ja-JP"/>
              </w:rPr>
            </w:pPr>
          </w:p>
        </w:tc>
        <w:tc>
          <w:tcPr>
            <w:tcW w:w="800" w:type="dxa"/>
            <w:shd w:val="clear" w:color="auto" w:fill="EBF1DE" w:themeFill="accent3" w:themeFillTint="32"/>
            <w:vAlign w:val="center"/>
          </w:tcPr>
          <w:p>
            <w:pPr>
              <w:shd w:val="clear" w:color="auto" w:fill="EBF1DE" w:themeFill="accent3" w:themeFillTint="32"/>
              <w:jc w:val="center"/>
              <w:rPr>
                <w:lang w:eastAsia="ja-JP"/>
              </w:rPr>
            </w:pPr>
          </w:p>
        </w:tc>
        <w:tc>
          <w:tcPr>
            <w:tcW w:w="837" w:type="dxa"/>
            <w:shd w:val="clear" w:color="auto" w:fill="EBF1DE" w:themeFill="accent3" w:themeFillTint="32"/>
            <w:vAlign w:val="center"/>
          </w:tcPr>
          <w:p>
            <w:pPr>
              <w:shd w:val="clear" w:color="auto" w:fill="EBF1DE" w:themeFill="accent3" w:themeFillTint="32"/>
              <w:jc w:val="center"/>
              <w:rPr>
                <w:lang w:eastAsia="ja-JP"/>
              </w:rPr>
            </w:pPr>
          </w:p>
        </w:tc>
        <w:tc>
          <w:tcPr>
            <w:tcW w:w="750" w:type="dxa"/>
            <w:shd w:val="clear" w:color="auto" w:fill="EBF1DE" w:themeFill="accent3" w:themeFillTint="32"/>
            <w:vAlign w:val="center"/>
          </w:tcPr>
          <w:p>
            <w:pPr>
              <w:shd w:val="clear" w:color="auto" w:fill="EBF1DE" w:themeFill="accent3" w:themeFillTint="32"/>
              <w:jc w:val="center"/>
              <w:rPr>
                <w:lang w:eastAsia="ja-JP"/>
              </w:rPr>
            </w:pPr>
          </w:p>
        </w:tc>
        <w:tc>
          <w:tcPr>
            <w:tcW w:w="663" w:type="dxa"/>
            <w:shd w:val="clear" w:color="auto" w:fill="EBF1DE" w:themeFill="accent3" w:themeFillTint="32"/>
            <w:vAlign w:val="center"/>
          </w:tcPr>
          <w:p>
            <w:pPr>
              <w:shd w:val="clear" w:color="auto" w:fill="EBF1DE" w:themeFill="accent3" w:themeFillTint="32"/>
              <w:jc w:val="center"/>
              <w:rPr>
                <w:lang w:eastAsia="ja-JP"/>
              </w:rPr>
            </w:pPr>
          </w:p>
        </w:tc>
        <w:tc>
          <w:tcPr>
            <w:tcW w:w="725"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8" w:type="dxa"/>
            <w:shd w:val="clear" w:color="auto" w:fill="EBF1DE" w:themeFill="accent3" w:themeFillTint="32"/>
            <w:vAlign w:val="center"/>
          </w:tcPr>
          <w:p>
            <w:pPr>
              <w:shd w:val="clear" w:color="auto" w:fill="EBF1DE" w:themeFill="accent3" w:themeFillTint="32"/>
              <w:jc w:val="center"/>
              <w:rPr>
                <w:lang w:eastAsia="ja-JP"/>
              </w:rPr>
            </w:pPr>
            <w:r>
              <w:rPr>
                <w:rFonts w:hint="eastAsia"/>
              </w:rPr>
              <w:t>7.2</w:t>
            </w:r>
          </w:p>
        </w:tc>
        <w:tc>
          <w:tcPr>
            <w:tcW w:w="812" w:type="dxa"/>
            <w:shd w:val="clear" w:color="auto" w:fill="EBF1DE" w:themeFill="accent3" w:themeFillTint="32"/>
            <w:vAlign w:val="center"/>
          </w:tcPr>
          <w:p>
            <w:pPr>
              <w:shd w:val="clear" w:color="auto" w:fill="EBF1DE" w:themeFill="accent3" w:themeFillTint="32"/>
              <w:jc w:val="center"/>
              <w:rPr>
                <w:lang w:eastAsia="ja-JP"/>
              </w:rPr>
            </w:pPr>
            <w:r>
              <w:rPr>
                <w:rFonts w:hint="eastAsia"/>
              </w:rPr>
              <w:t>7.3</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rPr>
              <w:t>7.4</w:t>
            </w:r>
          </w:p>
        </w:tc>
        <w:tc>
          <w:tcPr>
            <w:tcW w:w="838" w:type="dxa"/>
            <w:shd w:val="clear" w:color="auto" w:fill="EBF1DE" w:themeFill="accent3" w:themeFillTint="32"/>
            <w:vAlign w:val="center"/>
          </w:tcPr>
          <w:p>
            <w:pPr>
              <w:shd w:val="clear" w:color="auto" w:fill="EBF1DE" w:themeFill="accent3" w:themeFillTint="32"/>
              <w:jc w:val="center"/>
              <w:rPr>
                <w:lang w:eastAsia="ja-JP"/>
              </w:rPr>
            </w:pPr>
            <w:r>
              <w:rPr>
                <w:rFonts w:hint="eastAsia"/>
              </w:rPr>
              <w:t>7.5</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c>
          <w:tcPr>
            <w:tcW w:w="837"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750"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663"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725"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8"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12"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5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38"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3</w:t>
            </w:r>
          </w:p>
        </w:tc>
        <w:tc>
          <w:tcPr>
            <w:tcW w:w="80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837"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5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663"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c>
          <w:tcPr>
            <w:tcW w:w="725"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8" w:type="dxa"/>
            <w:shd w:val="clear" w:color="auto" w:fill="EBF1DE" w:themeFill="accent3" w:themeFillTint="32"/>
            <w:vAlign w:val="center"/>
          </w:tcPr>
          <w:p>
            <w:pPr>
              <w:shd w:val="clear" w:color="auto" w:fill="EBF1DE" w:themeFill="accent3" w:themeFillTint="32"/>
              <w:jc w:val="center"/>
              <w:rPr>
                <w:lang w:eastAsia="ja-JP"/>
              </w:rPr>
            </w:pPr>
          </w:p>
        </w:tc>
        <w:tc>
          <w:tcPr>
            <w:tcW w:w="812" w:type="dxa"/>
            <w:shd w:val="clear" w:color="auto" w:fill="EBF1DE" w:themeFill="accent3" w:themeFillTint="32"/>
            <w:vAlign w:val="center"/>
          </w:tcPr>
          <w:p>
            <w:pPr>
              <w:shd w:val="clear" w:color="auto" w:fill="EBF1DE" w:themeFill="accent3" w:themeFillTint="32"/>
              <w:jc w:val="center"/>
              <w:rPr>
                <w:lang w:eastAsia="ja-JP"/>
              </w:rPr>
            </w:pPr>
          </w:p>
        </w:tc>
        <w:tc>
          <w:tcPr>
            <w:tcW w:w="850" w:type="dxa"/>
            <w:shd w:val="clear" w:color="auto" w:fill="EBF1DE" w:themeFill="accent3" w:themeFillTint="32"/>
            <w:vAlign w:val="center"/>
          </w:tcPr>
          <w:p>
            <w:pPr>
              <w:shd w:val="clear" w:color="auto" w:fill="EBF1DE" w:themeFill="accent3" w:themeFillTint="32"/>
              <w:jc w:val="center"/>
              <w:rPr>
                <w:lang w:eastAsia="ja-JP"/>
              </w:rPr>
            </w:pPr>
          </w:p>
        </w:tc>
        <w:tc>
          <w:tcPr>
            <w:tcW w:w="838" w:type="dxa"/>
            <w:shd w:val="clear" w:color="auto" w:fill="EBF1DE" w:themeFill="accent3" w:themeFillTint="32"/>
            <w:vAlign w:val="center"/>
          </w:tcPr>
          <w:p>
            <w:pPr>
              <w:shd w:val="clear" w:color="auto" w:fill="EBF1DE" w:themeFill="accent3" w:themeFillTint="32"/>
              <w:jc w:val="center"/>
              <w:rPr>
                <w:lang w:eastAsia="ja-JP"/>
              </w:rPr>
            </w:pPr>
          </w:p>
        </w:tc>
        <w:tc>
          <w:tcPr>
            <w:tcW w:w="80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jc w:val="center"/>
              <w:rPr>
                <w:lang w:eastAsia="ja-JP"/>
              </w:rPr>
            </w:pPr>
          </w:p>
        </w:tc>
        <w:tc>
          <w:tcPr>
            <w:tcW w:w="837" w:type="dxa"/>
            <w:shd w:val="clear" w:color="auto" w:fill="EBF1DE" w:themeFill="accent3" w:themeFillTint="32"/>
            <w:vAlign w:val="center"/>
          </w:tcPr>
          <w:p>
            <w:pPr>
              <w:shd w:val="clear" w:color="auto" w:fill="EBF1DE" w:themeFill="accent3" w:themeFillTint="32"/>
              <w:jc w:val="center"/>
              <w:rPr>
                <w:lang w:eastAsia="ja-JP"/>
              </w:rPr>
            </w:pPr>
          </w:p>
        </w:tc>
        <w:tc>
          <w:tcPr>
            <w:tcW w:w="750" w:type="dxa"/>
            <w:shd w:val="clear" w:color="auto" w:fill="EBF1DE" w:themeFill="accent3" w:themeFillTint="32"/>
            <w:vAlign w:val="center"/>
          </w:tcPr>
          <w:p>
            <w:pPr>
              <w:shd w:val="clear" w:color="auto" w:fill="EBF1DE" w:themeFill="accent3" w:themeFillTint="32"/>
              <w:jc w:val="center"/>
              <w:rPr>
                <w:lang w:eastAsia="ja-JP"/>
              </w:rPr>
            </w:pPr>
          </w:p>
        </w:tc>
        <w:tc>
          <w:tcPr>
            <w:tcW w:w="663" w:type="dxa"/>
            <w:shd w:val="clear" w:color="auto" w:fill="EBF1DE" w:themeFill="accent3" w:themeFillTint="32"/>
            <w:vAlign w:val="center"/>
          </w:tcPr>
          <w:p>
            <w:pPr>
              <w:shd w:val="clear" w:color="auto" w:fill="EBF1DE" w:themeFill="accent3" w:themeFillTint="32"/>
              <w:jc w:val="center"/>
              <w:rPr>
                <w:lang w:eastAsia="ja-JP"/>
              </w:rPr>
            </w:pPr>
          </w:p>
        </w:tc>
        <w:tc>
          <w:tcPr>
            <w:tcW w:w="725" w:type="dxa"/>
            <w:shd w:val="clear" w:color="auto" w:fill="EBF1DE" w:themeFill="accent3" w:themeFillTint="32"/>
            <w:vAlign w:val="center"/>
          </w:tcPr>
          <w:p>
            <w:pPr>
              <w:shd w:val="clear" w:color="auto" w:fill="EBF1DE" w:themeFill="accent3" w:themeFillTint="32"/>
              <w:jc w:val="center"/>
              <w:rPr>
                <w:lang w:eastAsia="ja-JP"/>
              </w:rPr>
            </w:pPr>
          </w:p>
        </w:tc>
      </w:tr>
    </w:tbl>
    <w:p>
      <w:pPr>
        <w:shd w:val="clear" w:color="auto" w:fill="EBF1DE" w:themeFill="accent3" w:themeFillTint="32"/>
      </w:pPr>
      <w:bookmarkStart w:id="34" w:name="_GoBack"/>
      <w:bookmarkEnd w:id="34"/>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5477F"/>
    <w:rsid w:val="06DB53AB"/>
    <w:rsid w:val="088263A3"/>
    <w:rsid w:val="0CCB741B"/>
    <w:rsid w:val="0F891F71"/>
    <w:rsid w:val="1BC57F3E"/>
    <w:rsid w:val="1DA114A8"/>
    <w:rsid w:val="24AA1F04"/>
    <w:rsid w:val="3E970A4F"/>
    <w:rsid w:val="550531C1"/>
    <w:rsid w:val="70361EC8"/>
    <w:rsid w:val="7A0F2874"/>
    <w:rsid w:val="7D2D7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2021-09-24T07:00:34Z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