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陕西奉航科技有限责任公司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白模制作→造型→熔炼→浇注→清理→检验→入库。</w:t>
            </w:r>
          </w:p>
          <w:p>
            <w:pPr>
              <w:adjustRightInd w:val="0"/>
              <w:spacing w:line="360" w:lineRule="auto"/>
              <w:ind w:firstLine="720" w:firstLineChars="3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原材料→车工工序（内外径、</w:t>
            </w:r>
            <w:bookmarkStart w:id="8" w:name="_GoBack"/>
            <w:bookmarkEnd w:id="8"/>
            <w:r>
              <w:rPr>
                <w:rFonts w:hint="eastAsia" w:ascii="宋体" w:hAnsi="宋体"/>
                <w:szCs w:val="21"/>
                <w:lang w:val="en-US" w:eastAsia="zh-CN"/>
              </w:rPr>
              <w:t>平面、止口）→加工中心（钻孔、镗孔、铣孔）→清洗、检验、包装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关键过程：熔炼、浇注，控制时间、温度、压力。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重大环境因素：火灾，粉尘排放，固废排放；噪声排放；废水排放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top"/>
          </w:tcPr>
          <w:p>
            <w:pPr>
              <w:adjustRightInd w:val="0"/>
              <w:spacing w:line="360" w:lineRule="auto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G</w:t>
            </w:r>
            <w:r>
              <w:rPr>
                <w:rFonts w:hint="eastAsia"/>
                <w:sz w:val="20"/>
              </w:rPr>
              <w:t>B/T1184-1996《形状和位置公差未注公差值》、GB/T1184-1996《形状和位置公差未注公差值》、DZ97259520401平衡轴支架、DZ97259520432钢板弹簧座，</w:t>
            </w:r>
          </w:p>
          <w:p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大气污染防治法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固体废弃物污染环境保护法等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144780</wp:posOffset>
                  </wp:positionV>
                  <wp:extent cx="450850" cy="346710"/>
                  <wp:effectExtent l="0" t="0" r="6350" b="8890"/>
                  <wp:wrapNone/>
                  <wp:docPr id="1" name="图片 1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138430</wp:posOffset>
                  </wp:positionV>
                  <wp:extent cx="450850" cy="346710"/>
                  <wp:effectExtent l="0" t="0" r="6350" b="889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5168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1312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7A6E20"/>
    <w:rsid w:val="059A3D96"/>
    <w:rsid w:val="1DB55D33"/>
    <w:rsid w:val="2C805AF0"/>
    <w:rsid w:val="45EB5884"/>
    <w:rsid w:val="5A352467"/>
    <w:rsid w:val="61185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2021-09-24T06:52:46Z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