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 集团办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刘丽丽   财务部  主管领导：王倩    陪同人员：彭永东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郭力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5.3组织的岗位、职责和权限、6.2环境目标、6.1.2环境因素、8.1运行策划和控制。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本部门主要负责公司环境保护资金筹措和拨付，并监督其合理使用；负责环境工程项目资金的使用管理。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6.2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固体废弃物有效处置率100%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</w:t>
            </w:r>
            <w:r>
              <w:rPr>
                <w:rFonts w:ascii="楷体" w:hAnsi="楷体" w:eastAsia="楷体"/>
                <w:sz w:val="24"/>
                <w:szCs w:val="24"/>
              </w:rPr>
              <w:t>火灾发生率0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 《质量、环境和职业健康安全目标指标考核表》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  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6.1.2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查有：《环境因素识别与评价程序》。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提供了《环境因素识别评价汇总表》，识别了办公过程中的水电消耗、纸张消耗、墨盒废弃、硒鼓废弃等。 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财务部重要环境因素为：火灾事故的发生。 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对于重要环境因素的控制，通过日常检查、目标、管理方案、运行控制、应急预案等控制方式。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财务办公室内主要是电的使用，经常对电路、电源进行检查，没有露电现象发生。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现场巡视办公区域有垃圾桶，电线、电气插座完整，未见破损。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为公司环境管理体系的运行及时支出专项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资金，20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月统计，至今支出约2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万元，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主要是教育培训费、消防器材配置费、购置分类垃圾箱费、废物处理费。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集团办财务部部门运行控制基本符合规定要求。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ptab w:relativeTo="margin" w:alignment="center" w:leader="none"/>
      </w:r>
    </w:p>
    <w:p>
      <w:pPr>
        <w:rPr>
          <w:rFonts w:ascii="楷体" w:hAnsi="楷体" w:eastAsia="楷体"/>
          <w:sz w:val="24"/>
          <w:szCs w:val="24"/>
        </w:rPr>
      </w:pPr>
    </w:p>
    <w:p>
      <w:pPr>
        <w:rPr>
          <w:rFonts w:ascii="楷体" w:hAnsi="楷体" w:eastAsia="楷体"/>
          <w:sz w:val="24"/>
          <w:szCs w:val="24"/>
        </w:rPr>
      </w:pPr>
    </w:p>
    <w:p>
      <w:pPr>
        <w:pStyle w:val="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说明：不符合标注N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ISC-B-II-12管理体系审核记录表(03版)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1A2D7F"/>
    <w:rsid w:val="001B4936"/>
    <w:rsid w:val="002939AD"/>
    <w:rsid w:val="00337922"/>
    <w:rsid w:val="00340867"/>
    <w:rsid w:val="00380837"/>
    <w:rsid w:val="003A198A"/>
    <w:rsid w:val="00410914"/>
    <w:rsid w:val="00446DAF"/>
    <w:rsid w:val="00536930"/>
    <w:rsid w:val="00564E53"/>
    <w:rsid w:val="005C6F3E"/>
    <w:rsid w:val="005D5659"/>
    <w:rsid w:val="00600C20"/>
    <w:rsid w:val="006020E9"/>
    <w:rsid w:val="0061332F"/>
    <w:rsid w:val="00644FE2"/>
    <w:rsid w:val="00661AC8"/>
    <w:rsid w:val="0067640C"/>
    <w:rsid w:val="006E678B"/>
    <w:rsid w:val="007757F3"/>
    <w:rsid w:val="007E6AEB"/>
    <w:rsid w:val="0083489C"/>
    <w:rsid w:val="008973EE"/>
    <w:rsid w:val="00971600"/>
    <w:rsid w:val="009973B4"/>
    <w:rsid w:val="009C28C1"/>
    <w:rsid w:val="009F7EED"/>
    <w:rsid w:val="00A80636"/>
    <w:rsid w:val="00AF0AAB"/>
    <w:rsid w:val="00BF597E"/>
    <w:rsid w:val="00C110FB"/>
    <w:rsid w:val="00C17908"/>
    <w:rsid w:val="00C51A36"/>
    <w:rsid w:val="00C55228"/>
    <w:rsid w:val="00C87F73"/>
    <w:rsid w:val="00CE315A"/>
    <w:rsid w:val="00D06F59"/>
    <w:rsid w:val="00D47E2B"/>
    <w:rsid w:val="00D8388C"/>
    <w:rsid w:val="00D859FC"/>
    <w:rsid w:val="00D85E56"/>
    <w:rsid w:val="00E6224C"/>
    <w:rsid w:val="00EB0164"/>
    <w:rsid w:val="00ED0F62"/>
    <w:rsid w:val="06583BE9"/>
    <w:rsid w:val="0E3E1D1A"/>
    <w:rsid w:val="108219C2"/>
    <w:rsid w:val="11FA0244"/>
    <w:rsid w:val="377D5E49"/>
    <w:rsid w:val="3BA400FD"/>
    <w:rsid w:val="535A7D71"/>
    <w:rsid w:val="58405562"/>
    <w:rsid w:val="5D966F3A"/>
    <w:rsid w:val="5EA12B9A"/>
    <w:rsid w:val="62AA5BAD"/>
    <w:rsid w:val="7AF07045"/>
    <w:rsid w:val="7BF95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576</Characters>
  <Lines>4</Lines>
  <Paragraphs>1</Paragraphs>
  <TotalTime>2</TotalTime>
  <ScaleCrop>false</ScaleCrop>
  <LinksUpToDate>false</LinksUpToDate>
  <CharactersWithSpaces>676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2021-09-13T03:52:29Z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F2ABD10D531D49449BC363044E204B34</vt:lpwstr>
  </property>
</Properties>
</file>