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重庆伯仲物流有限公司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李祥华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货运部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atLeast"/>
              <w:ind w:firstLine="422" w:firstLineChars="200"/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查组织近期未对货运司机进行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三级安全教育</w:t>
            </w:r>
            <w:r>
              <w:rPr>
                <w:rFonts w:hint="eastAsia" w:ascii="宋体" w:cs="Times New Roman"/>
                <w:b/>
                <w:bCs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为了满足职业健康安全管理体系要求和实施第6章所确定的措施，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组织应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策划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、实施、控制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Times New Roman" w:eastAsia="宋体" w:cs="Times New Roman"/>
                <w:b/>
                <w:bCs/>
                <w:kern w:val="0"/>
                <w:szCs w:val="21"/>
                <w:highlight w:val="none"/>
              </w:rPr>
              <w:t>保持所需的过程，通过：按照准则实施过程控制”的要求。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2961005</wp:posOffset>
                  </wp:positionH>
                  <wp:positionV relativeFrom="paragraph">
                    <wp:posOffset>74295</wp:posOffset>
                  </wp:positionV>
                  <wp:extent cx="621030" cy="389255"/>
                  <wp:effectExtent l="0" t="0" r="3810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708025</wp:posOffset>
                  </wp:positionH>
                  <wp:positionV relativeFrom="paragraph">
                    <wp:posOffset>63500</wp:posOffset>
                  </wp:positionV>
                  <wp:extent cx="621030" cy="389255"/>
                  <wp:effectExtent l="0" t="0" r="3810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60470C"/>
    <w:rsid w:val="5D3952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2021-09-09T07:42:26Z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