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0468-2020-QEO-2021</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重庆伯仲物流有限公司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12"/>
        <w:rPr>
          <w:sz w:val="28"/>
          <w:szCs w:val="28"/>
        </w:rPr>
      </w:pPr>
    </w:p>
    <w:p>
      <w:pPr>
        <w:pStyle w:val="12"/>
        <w:rPr>
          <w:sz w:val="28"/>
          <w:szCs w:val="28"/>
        </w:rPr>
      </w:pPr>
    </w:p>
    <w:p>
      <w:pPr>
        <w:pStyle w:val="1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重庆伯仲物流有限公司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重庆市沙坪坝区西部现代物流园垄安大道传化公路物流港零担仓库L409</w:t>
            </w:r>
            <w:bookmarkEnd w:id="6"/>
          </w:p>
        </w:tc>
        <w:tc>
          <w:tcPr>
            <w:tcW w:w="1242" w:type="dxa"/>
            <w:vMerge w:val="restart"/>
            <w:vAlign w:val="center"/>
          </w:tcPr>
          <w:p>
            <w:r>
              <w:rPr>
                <w:rFonts w:hint="eastAsia"/>
              </w:rPr>
              <w:t>邮编</w:t>
            </w:r>
          </w:p>
        </w:tc>
        <w:tc>
          <w:tcPr>
            <w:tcW w:w="1771" w:type="dxa"/>
          </w:tcPr>
          <w:p>
            <w:bookmarkStart w:id="7" w:name="注册邮编"/>
            <w:r>
              <w:t>400000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重庆市沙坪坝区垄安大道120号维龙沙坪坝物流园A2号仓库/办公楼</w:t>
            </w:r>
            <w:bookmarkEnd w:id="8"/>
          </w:p>
        </w:tc>
        <w:tc>
          <w:tcPr>
            <w:tcW w:w="1242" w:type="dxa"/>
            <w:vMerge w:val="continue"/>
            <w:vAlign w:val="center"/>
          </w:tcPr>
          <w:p/>
        </w:tc>
        <w:tc>
          <w:tcPr>
            <w:tcW w:w="1771" w:type="dxa"/>
          </w:tcPr>
          <w:p>
            <w:bookmarkStart w:id="9" w:name="办公邮编"/>
            <w: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刘安辉</w:t>
            </w:r>
            <w:bookmarkEnd w:id="10"/>
          </w:p>
        </w:tc>
        <w:tc>
          <w:tcPr>
            <w:tcW w:w="1313" w:type="dxa"/>
            <w:vAlign w:val="center"/>
          </w:tcPr>
          <w:p>
            <w:r>
              <w:rPr>
                <w:rFonts w:hint="eastAsia"/>
              </w:rPr>
              <w:t>电话.</w:t>
            </w:r>
          </w:p>
        </w:tc>
        <w:tc>
          <w:tcPr>
            <w:tcW w:w="2180" w:type="dxa"/>
            <w:vAlign w:val="center"/>
          </w:tcPr>
          <w:p>
            <w:bookmarkStart w:id="11" w:name="联系人电话"/>
            <w:r>
              <w:t>023-65508979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刘安辉</w:t>
            </w:r>
            <w:bookmarkEnd w:id="13"/>
          </w:p>
        </w:tc>
        <w:tc>
          <w:tcPr>
            <w:tcW w:w="1313" w:type="dxa"/>
            <w:vAlign w:val="center"/>
          </w:tcPr>
          <w:p>
            <w:r>
              <w:rPr>
                <w:rFonts w:hint="eastAsia"/>
              </w:rPr>
              <w:t>管理者代表</w:t>
            </w:r>
          </w:p>
        </w:tc>
        <w:tc>
          <w:tcPr>
            <w:tcW w:w="2180" w:type="dxa"/>
          </w:tcPr>
          <w:p>
            <w:bookmarkStart w:id="14" w:name="管理者代表"/>
            <w:r>
              <w:t>王亚兰</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 □双班 □三班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Times New Roman" w:hAnsi="Times New Roman" w:eastAsia="宋体" w:cs="Times New Roman"/>
                <w:bCs/>
                <w:spacing w:val="10"/>
                <w:kern w:val="2"/>
                <w:sz w:val="21"/>
                <w:szCs w:val="21"/>
                <w:highlight w:val="none"/>
                <w:rtl w:val="0"/>
                <w:lang w:val="zh-CN" w:eastAsia="zh-CN" w:bidi="ar-SA"/>
              </w:rPr>
              <w:t>货运流程：签订合同——制定运输方案—-按照方案执行——客户确认</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5" w:name="审核日期"/>
            <w:r>
              <w:rPr>
                <w:rFonts w:hint="eastAsia"/>
              </w:rPr>
              <w:t>2021年09月09日 上午至2021年09月09日 下午</w:t>
            </w:r>
            <w:bookmarkEnd w:id="15"/>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ascii="宋体" w:hAnsi="宋体" w:eastAsia="宋体" w:cs="宋体"/>
                <w:lang w:val="de-DE"/>
              </w:rPr>
              <w:t>■</w:t>
            </w:r>
            <w:r>
              <w:rPr>
                <w:rFonts w:hint="eastAsia"/>
                <w:lang w:val="de-DE"/>
              </w:rPr>
              <w:t>受审核方</w:t>
            </w:r>
            <w:r>
              <w:rPr>
                <w:rFonts w:hint="eastAsia"/>
              </w:rPr>
              <w:t xml:space="preserve">管理体系成文信息               </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 xml:space="preserve">□单一体系审核    □结合审核   </w:t>
            </w:r>
            <w:r>
              <w:rPr>
                <w:rFonts w:hint="eastAsia"/>
                <w:lang w:eastAsia="zh-CN"/>
              </w:rPr>
              <w:t>■</w:t>
            </w:r>
            <w:r>
              <w:rPr>
                <w:rFonts w:hint="eastAsia"/>
              </w:rPr>
              <w:t>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 xml:space="preserve">初审二阶段  </w:t>
            </w:r>
            <w:bookmarkStart w:id="25" w:name="监督勾选Add1"/>
            <w:r>
              <w:rPr>
                <w:rFonts w:hint="eastAsia"/>
              </w:rPr>
              <w:t>■</w:t>
            </w:r>
            <w:bookmarkEnd w:id="25"/>
            <w:r>
              <w:rPr>
                <w:rFonts w:hint="eastAsia"/>
              </w:rPr>
              <w:t xml:space="preserve">监督 第 </w:t>
            </w:r>
            <w:bookmarkStart w:id="26" w:name="监督次数"/>
            <w:r>
              <w:rPr>
                <w:rFonts w:hint="eastAsia"/>
              </w:rPr>
              <w:t>一</w:t>
            </w:r>
            <w:bookmarkEnd w:id="26"/>
            <w:r>
              <w:rPr>
                <w:rFonts w:hint="eastAsia"/>
              </w:rPr>
              <w:t xml:space="preserve"> 次监督审核  </w:t>
            </w:r>
            <w:bookmarkStart w:id="27" w:name="再认证勾选"/>
            <w:r>
              <w:rPr>
                <w:rFonts w:hint="eastAsia"/>
              </w:rPr>
              <w:t>□</w:t>
            </w:r>
            <w:bookmarkEnd w:id="27"/>
            <w:r>
              <w:rPr>
                <w:rFonts w:hint="eastAsia"/>
              </w:rPr>
              <w:t xml:space="preserve">再认证 </w:t>
            </w:r>
            <w:bookmarkStart w:id="28" w:name="扩项勾选Add1"/>
            <w:r>
              <w:rPr>
                <w:rFonts w:hint="eastAsia"/>
              </w:rPr>
              <w:t>□</w:t>
            </w:r>
            <w:bookmarkEnd w:id="2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rPr>
            </w:pPr>
            <w:bookmarkStart w:id="29" w:name="审核范围"/>
            <w:r>
              <w:rPr>
                <w:rFonts w:hint="eastAsia"/>
              </w:rPr>
              <w:t>Q：许可范围内的普通货运</w:t>
            </w:r>
          </w:p>
          <w:p>
            <w:pPr>
              <w:rPr>
                <w:rFonts w:hint="eastAsia"/>
              </w:rPr>
            </w:pPr>
            <w:r>
              <w:rPr>
                <w:rFonts w:hint="eastAsia"/>
              </w:rPr>
              <w:t>E：许可范围内的普通货运所涉及的相关环境管理活动</w:t>
            </w:r>
          </w:p>
          <w:p>
            <w:pPr>
              <w:rPr>
                <w:rFonts w:hint="eastAsia"/>
              </w:rPr>
            </w:pPr>
            <w:r>
              <w:rPr>
                <w:rFonts w:hint="eastAsia"/>
              </w:rPr>
              <w:t>O：许可范围内的普通货运所涉及的相关职业健康安全管理活动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Q：31.04.01</w:t>
            </w:r>
          </w:p>
          <w:p>
            <w:r>
              <w:t>E：31.04.01</w:t>
            </w:r>
          </w:p>
          <w:p>
            <w:r>
              <w:t>O：31.04.01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default" w:eastAsia="宋体"/>
                <w:lang w:val="en-US" w:eastAsia="zh-CN"/>
              </w:rPr>
            </w:pPr>
            <w:r>
              <w:rPr>
                <w:rFonts w:hint="eastAsia"/>
              </w:rPr>
              <w:t xml:space="preserve"> </w:t>
            </w:r>
            <w:r>
              <w:rPr>
                <w:rFonts w:hint="eastAsia"/>
                <w:lang w:val="en-US" w:eastAsia="zh-CN"/>
              </w:rPr>
              <w:t>2019年12月10日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rPr>
              <w:t xml:space="preserve"> </w:t>
            </w:r>
            <w:r>
              <w:rPr>
                <w:rFonts w:hint="eastAsia"/>
                <w:lang w:val="en-US" w:eastAsia="zh-CN"/>
              </w:rPr>
              <w:t>2020年9月11日</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default" w:eastAsia="宋体"/>
                <w:lang w:val="en-US" w:eastAsia="zh-CN"/>
              </w:rPr>
            </w:pPr>
            <w:r>
              <w:rPr>
                <w:rFonts w:hint="eastAsia"/>
              </w:rPr>
              <w:t xml:space="preserve">有效至 </w:t>
            </w:r>
            <w:r>
              <w:rPr>
                <w:rFonts w:hint="eastAsia"/>
                <w:lang w:val="en-US" w:eastAsia="zh-CN"/>
              </w:rPr>
              <w:t>2023年年9月10日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489"/>
        <w:gridCol w:w="1095"/>
        <w:gridCol w:w="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489" w:type="dxa"/>
            <w:shd w:val="clear" w:color="auto" w:fill="F3F3F3"/>
            <w:tcMar>
              <w:left w:w="57" w:type="dxa"/>
              <w:right w:w="57" w:type="dxa"/>
            </w:tcMar>
          </w:tcPr>
          <w:p>
            <w:r>
              <w:rPr>
                <w:rFonts w:hint="eastAsia"/>
              </w:rPr>
              <w:t>审核范围（产品和过程）</w:t>
            </w:r>
          </w:p>
          <w:p/>
          <w:p/>
        </w:tc>
        <w:tc>
          <w:tcPr>
            <w:tcW w:w="1095" w:type="dxa"/>
            <w:shd w:val="clear" w:color="auto" w:fill="F3F3F3"/>
            <w:tcMar>
              <w:left w:w="57" w:type="dxa"/>
              <w:right w:w="57" w:type="dxa"/>
            </w:tcMar>
          </w:tcPr>
          <w:p>
            <w:r>
              <w:rPr>
                <w:rFonts w:hint="eastAsia"/>
              </w:rPr>
              <w:t>标准</w:t>
            </w:r>
          </w:p>
        </w:tc>
        <w:tc>
          <w:tcPr>
            <w:tcW w:w="556"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b w:val="0"/>
                <w:bCs/>
                <w:lang w:val="en-US" w:eastAsia="zh-CN"/>
              </w:rPr>
            </w:pPr>
            <w:r>
              <w:rPr>
                <w:rFonts w:ascii="宋体" w:hAnsi="宋体"/>
                <w:b w:val="0"/>
                <w:bCs/>
                <w:color w:val="000000" w:themeColor="text1"/>
                <w:sz w:val="20"/>
                <w:szCs w:val="20"/>
              </w:rPr>
              <w:t>重庆伯仲物流有限公司</w:t>
            </w:r>
            <w:r>
              <w:rPr>
                <w:rFonts w:hint="eastAsia" w:ascii="宋体" w:hAnsi="宋体"/>
                <w:b w:val="0"/>
                <w:bCs/>
                <w:color w:val="000000" w:themeColor="text1"/>
                <w:sz w:val="20"/>
                <w:szCs w:val="20"/>
                <w:lang w:val="en-US" w:eastAsia="zh-CN"/>
              </w:rPr>
              <w:t>/</w:t>
            </w:r>
            <w:r>
              <w:rPr>
                <w:rFonts w:ascii="宋体" w:hAnsi="宋体"/>
                <w:b w:val="0"/>
                <w:bCs/>
                <w:color w:val="000000" w:themeColor="text1"/>
                <w:sz w:val="20"/>
                <w:szCs w:val="20"/>
              </w:rPr>
              <w:t>重庆市沙坪坝区西部现代物流园垄安大道传化公路物流港零担仓库L409</w:t>
            </w:r>
          </w:p>
        </w:tc>
        <w:tc>
          <w:tcPr>
            <w:tcW w:w="2267" w:type="dxa"/>
          </w:tcPr>
          <w:p>
            <w:pPr>
              <w:rPr>
                <w:b w:val="0"/>
                <w:bCs/>
                <w:lang w:val="de-DE" w:eastAsia="ja-JP"/>
              </w:rPr>
            </w:pPr>
            <w:r>
              <w:rPr>
                <w:rFonts w:ascii="宋体" w:hAnsi="宋体"/>
                <w:b w:val="0"/>
                <w:bCs/>
                <w:color w:val="000000" w:themeColor="text1"/>
                <w:sz w:val="20"/>
                <w:szCs w:val="20"/>
              </w:rPr>
              <w:t>重庆市沙坪坝区垄安大道120号维龙沙坪坝物流园A2号仓库/办公楼</w:t>
            </w:r>
          </w:p>
        </w:tc>
        <w:tc>
          <w:tcPr>
            <w:tcW w:w="571" w:type="dxa"/>
            <w:vAlign w:val="center"/>
          </w:tcPr>
          <w:p>
            <w:pPr>
              <w:rPr>
                <w:rFonts w:hint="default" w:eastAsia="宋体"/>
                <w:lang w:val="en-US" w:eastAsia="zh-CN"/>
              </w:rPr>
            </w:pPr>
            <w:r>
              <w:rPr>
                <w:rFonts w:hint="eastAsia"/>
                <w:lang w:val="en-US" w:eastAsia="zh-CN"/>
              </w:rPr>
              <w:t>20</w:t>
            </w:r>
          </w:p>
        </w:tc>
        <w:tc>
          <w:tcPr>
            <w:tcW w:w="2489" w:type="dxa"/>
            <w:vAlign w:val="center"/>
          </w:tcPr>
          <w:p>
            <w:pPr>
              <w:rPr>
                <w:lang w:eastAsia="ja-JP"/>
              </w:rPr>
            </w:pPr>
            <w:r>
              <w:rPr>
                <w:rFonts w:hint="eastAsia"/>
              </w:rPr>
              <w:t>许可范围内的普通货运</w:t>
            </w:r>
          </w:p>
        </w:tc>
        <w:tc>
          <w:tcPr>
            <w:tcW w:w="1095" w:type="dxa"/>
            <w:vAlign w:val="center"/>
          </w:tcPr>
          <w:p>
            <w:pPr>
              <w:rPr>
                <w:lang w:eastAsia="ja-JP"/>
              </w:rPr>
            </w:pPr>
            <w:r>
              <w:rPr>
                <w:rFonts w:hint="eastAsia"/>
                <w:lang w:eastAsia="ja-JP"/>
              </w:rPr>
              <w:t>GB/T19001-2016/ISO9001:2015</w:t>
            </w:r>
          </w:p>
        </w:tc>
        <w:tc>
          <w:tcPr>
            <w:tcW w:w="556" w:type="dxa"/>
            <w:shd w:val="clear" w:color="auto" w:fill="FFFFFF"/>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rPr>
                <w:rFonts w:hint="eastAsia" w:ascii="Times New Roman" w:hAnsi="Times New Roman" w:eastAsia="宋体" w:cs="Times New Roman"/>
                <w:b w:val="0"/>
                <w:bCs/>
                <w:kern w:val="2"/>
                <w:sz w:val="21"/>
                <w:szCs w:val="24"/>
                <w:lang w:val="en-US" w:eastAsia="ja-JP" w:bidi="ar-SA"/>
              </w:rPr>
            </w:pPr>
            <w:r>
              <w:rPr>
                <w:rFonts w:ascii="宋体" w:hAnsi="宋体"/>
                <w:b w:val="0"/>
                <w:bCs/>
                <w:color w:val="000000" w:themeColor="text1"/>
                <w:sz w:val="20"/>
                <w:szCs w:val="20"/>
              </w:rPr>
              <w:t>重庆伯仲物流有限公司</w:t>
            </w:r>
            <w:r>
              <w:rPr>
                <w:rFonts w:hint="eastAsia" w:ascii="宋体" w:hAnsi="宋体"/>
                <w:b w:val="0"/>
                <w:bCs/>
                <w:color w:val="000000" w:themeColor="text1"/>
                <w:sz w:val="20"/>
                <w:szCs w:val="20"/>
                <w:lang w:val="en-US" w:eastAsia="zh-CN"/>
              </w:rPr>
              <w:t>/</w:t>
            </w:r>
            <w:r>
              <w:rPr>
                <w:rFonts w:ascii="宋体" w:hAnsi="宋体"/>
                <w:b w:val="0"/>
                <w:bCs/>
                <w:color w:val="000000" w:themeColor="text1"/>
                <w:sz w:val="20"/>
                <w:szCs w:val="20"/>
              </w:rPr>
              <w:t>重庆市沙坪坝区西部现代物流园垄安大道传化公路物流港零担仓库L409</w:t>
            </w:r>
          </w:p>
        </w:tc>
        <w:tc>
          <w:tcPr>
            <w:tcW w:w="2267" w:type="dxa"/>
            <w:vAlign w:val="top"/>
          </w:tcPr>
          <w:p>
            <w:pPr>
              <w:rPr>
                <w:rFonts w:ascii="Times New Roman" w:hAnsi="Times New Roman" w:eastAsia="宋体" w:cs="Times New Roman"/>
                <w:b w:val="0"/>
                <w:bCs/>
                <w:kern w:val="2"/>
                <w:sz w:val="21"/>
                <w:szCs w:val="24"/>
                <w:lang w:val="de-DE" w:eastAsia="ja-JP" w:bidi="ar-SA"/>
              </w:rPr>
            </w:pPr>
            <w:r>
              <w:rPr>
                <w:rFonts w:ascii="宋体" w:hAnsi="宋体"/>
                <w:b w:val="0"/>
                <w:bCs/>
                <w:color w:val="000000" w:themeColor="text1"/>
                <w:sz w:val="20"/>
                <w:szCs w:val="20"/>
              </w:rPr>
              <w:t>重庆市沙坪坝区垄安大道120号维龙沙坪坝物流园A2号仓库/办公楼</w:t>
            </w:r>
          </w:p>
        </w:tc>
        <w:tc>
          <w:tcPr>
            <w:tcW w:w="571" w:type="dxa"/>
            <w:vAlign w:val="center"/>
          </w:tcPr>
          <w:p>
            <w:pPr>
              <w:rPr>
                <w:rFonts w:hint="default" w:eastAsia="宋体"/>
                <w:lang w:val="en-US" w:eastAsia="zh-CN"/>
              </w:rPr>
            </w:pPr>
            <w:r>
              <w:rPr>
                <w:rFonts w:hint="eastAsia"/>
                <w:lang w:val="en-US" w:eastAsia="zh-CN"/>
              </w:rPr>
              <w:t>20</w:t>
            </w:r>
          </w:p>
        </w:tc>
        <w:tc>
          <w:tcPr>
            <w:tcW w:w="2489" w:type="dxa"/>
            <w:vAlign w:val="center"/>
          </w:tcPr>
          <w:p>
            <w:pPr>
              <w:rPr>
                <w:lang w:eastAsia="ja-JP"/>
              </w:rPr>
            </w:pPr>
            <w:r>
              <w:rPr>
                <w:rFonts w:hint="eastAsia"/>
              </w:rPr>
              <w:t>许可范围内的普通货运所涉及的相关环境管理活动</w:t>
            </w:r>
          </w:p>
        </w:tc>
        <w:tc>
          <w:tcPr>
            <w:tcW w:w="1095" w:type="dxa"/>
            <w:vAlign w:val="center"/>
          </w:tcPr>
          <w:p>
            <w:pPr>
              <w:rPr>
                <w:lang w:eastAsia="ja-JP"/>
              </w:rPr>
            </w:pPr>
            <w:r>
              <w:rPr>
                <w:rFonts w:hint="eastAsia"/>
                <w:lang w:eastAsia="ja-JP"/>
              </w:rPr>
              <w:t>GB/T 24001-2016/ISO14001:2015</w:t>
            </w:r>
          </w:p>
        </w:tc>
        <w:tc>
          <w:tcPr>
            <w:tcW w:w="556" w:type="dxa"/>
            <w:shd w:val="clear" w:color="auto" w:fill="FFFFFF"/>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top"/>
          </w:tcPr>
          <w:p>
            <w:pPr>
              <w:rPr>
                <w:rFonts w:hint="eastAsia" w:ascii="Times New Roman" w:hAnsi="Times New Roman" w:eastAsia="宋体" w:cs="Times New Roman"/>
                <w:b w:val="0"/>
                <w:bCs/>
                <w:kern w:val="2"/>
                <w:sz w:val="21"/>
                <w:szCs w:val="24"/>
                <w:lang w:val="en-US" w:eastAsia="ja-JP" w:bidi="ar-SA"/>
              </w:rPr>
            </w:pPr>
            <w:r>
              <w:rPr>
                <w:rFonts w:ascii="宋体" w:hAnsi="宋体"/>
                <w:b w:val="0"/>
                <w:bCs/>
                <w:color w:val="000000" w:themeColor="text1"/>
                <w:sz w:val="20"/>
                <w:szCs w:val="20"/>
              </w:rPr>
              <w:t>重庆伯仲物流有限公司</w:t>
            </w:r>
            <w:r>
              <w:rPr>
                <w:rFonts w:hint="eastAsia" w:ascii="宋体" w:hAnsi="宋体"/>
                <w:b w:val="0"/>
                <w:bCs/>
                <w:color w:val="000000" w:themeColor="text1"/>
                <w:sz w:val="20"/>
                <w:szCs w:val="20"/>
                <w:lang w:val="en-US" w:eastAsia="zh-CN"/>
              </w:rPr>
              <w:t>/</w:t>
            </w:r>
            <w:r>
              <w:rPr>
                <w:rFonts w:ascii="宋体" w:hAnsi="宋体"/>
                <w:b w:val="0"/>
                <w:bCs/>
                <w:color w:val="000000" w:themeColor="text1"/>
                <w:sz w:val="20"/>
                <w:szCs w:val="20"/>
              </w:rPr>
              <w:t>重庆市沙坪坝区西部现代物流园垄安大道传化公路物流港零担仓库L409</w:t>
            </w:r>
          </w:p>
        </w:tc>
        <w:tc>
          <w:tcPr>
            <w:tcW w:w="2267" w:type="dxa"/>
            <w:vAlign w:val="top"/>
          </w:tcPr>
          <w:p>
            <w:pPr>
              <w:rPr>
                <w:rFonts w:ascii="Times New Roman" w:hAnsi="Times New Roman" w:eastAsia="宋体" w:cs="Times New Roman"/>
                <w:b w:val="0"/>
                <w:bCs/>
                <w:kern w:val="2"/>
                <w:sz w:val="21"/>
                <w:szCs w:val="24"/>
                <w:lang w:val="de-DE" w:eastAsia="ja-JP" w:bidi="ar-SA"/>
              </w:rPr>
            </w:pPr>
            <w:r>
              <w:rPr>
                <w:rFonts w:ascii="宋体" w:hAnsi="宋体"/>
                <w:b w:val="0"/>
                <w:bCs/>
                <w:color w:val="000000" w:themeColor="text1"/>
                <w:sz w:val="20"/>
                <w:szCs w:val="20"/>
              </w:rPr>
              <w:t>重庆市沙坪坝区垄安大道120号维龙沙坪坝物流园A2号仓库/办公楼</w:t>
            </w:r>
          </w:p>
        </w:tc>
        <w:tc>
          <w:tcPr>
            <w:tcW w:w="571" w:type="dxa"/>
            <w:vAlign w:val="center"/>
          </w:tcPr>
          <w:p>
            <w:pPr>
              <w:rPr>
                <w:rFonts w:hint="default" w:eastAsia="宋体"/>
                <w:lang w:val="en-US" w:eastAsia="zh-CN"/>
              </w:rPr>
            </w:pPr>
            <w:r>
              <w:rPr>
                <w:rFonts w:hint="eastAsia"/>
                <w:lang w:val="en-US" w:eastAsia="zh-CN"/>
              </w:rPr>
              <w:t>20</w:t>
            </w:r>
          </w:p>
        </w:tc>
        <w:tc>
          <w:tcPr>
            <w:tcW w:w="2489" w:type="dxa"/>
            <w:vAlign w:val="center"/>
          </w:tcPr>
          <w:p>
            <w:pPr>
              <w:rPr>
                <w:lang w:eastAsia="ja-JP"/>
              </w:rPr>
            </w:pPr>
            <w:r>
              <w:rPr>
                <w:rFonts w:hint="eastAsia"/>
              </w:rPr>
              <w:t>许可范围内的普通货运所涉及的相关职业健康安全管理活动</w:t>
            </w:r>
          </w:p>
        </w:tc>
        <w:tc>
          <w:tcPr>
            <w:tcW w:w="1095" w:type="dxa"/>
            <w:vAlign w:val="center"/>
          </w:tcPr>
          <w:p>
            <w:pPr>
              <w:rPr>
                <w:lang w:eastAsia="ja-JP"/>
              </w:rPr>
            </w:pPr>
            <w:r>
              <w:rPr>
                <w:rFonts w:hint="eastAsia"/>
                <w:lang w:eastAsia="ja-JP"/>
              </w:rPr>
              <w:t>GB/T45001-2020 / ISO45001：2018</w:t>
            </w:r>
          </w:p>
        </w:tc>
        <w:tc>
          <w:tcPr>
            <w:tcW w:w="556" w:type="dxa"/>
            <w:shd w:val="clear" w:color="auto" w:fill="FFFFFF"/>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489" w:type="dxa"/>
            <w:vAlign w:val="center"/>
          </w:tcPr>
          <w:p>
            <w:pPr>
              <w:rPr>
                <w:lang w:eastAsia="ja-JP"/>
              </w:rPr>
            </w:pPr>
          </w:p>
        </w:tc>
        <w:tc>
          <w:tcPr>
            <w:tcW w:w="1095" w:type="dxa"/>
            <w:vAlign w:val="center"/>
          </w:tcPr>
          <w:p>
            <w:pPr>
              <w:rPr>
                <w:lang w:eastAsia="ja-JP"/>
              </w:rPr>
            </w:pPr>
          </w:p>
        </w:tc>
        <w:tc>
          <w:tcPr>
            <w:tcW w:w="556"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489" w:type="dxa"/>
            <w:vAlign w:val="center"/>
          </w:tcPr>
          <w:p>
            <w:pPr>
              <w:rPr>
                <w:lang w:eastAsia="ja-JP"/>
              </w:rPr>
            </w:pPr>
          </w:p>
        </w:tc>
        <w:tc>
          <w:tcPr>
            <w:tcW w:w="1095" w:type="dxa"/>
            <w:vAlign w:val="center"/>
          </w:tcPr>
          <w:p>
            <w:pPr>
              <w:rPr>
                <w:lang w:eastAsia="ja-JP"/>
              </w:rPr>
            </w:pPr>
          </w:p>
        </w:tc>
        <w:tc>
          <w:tcPr>
            <w:tcW w:w="556"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2021-N1QMS-2230067</w:t>
            </w:r>
          </w:p>
          <w:p>
            <w:r>
              <w:t>2018-N1EMS-1230067</w:t>
            </w:r>
          </w:p>
          <w:p>
            <w:r>
              <w:t>2021-N1OHSMS-2230067</w:t>
            </w:r>
          </w:p>
        </w:tc>
        <w:tc>
          <w:tcPr>
            <w:tcW w:w="2179" w:type="dxa"/>
            <w:vAlign w:val="center"/>
          </w:tcPr>
          <w:p>
            <w:r>
              <w:t>Q:31.04.01</w:t>
            </w:r>
          </w:p>
          <w:p>
            <w:r>
              <w:t>E:31.04.01</w:t>
            </w:r>
          </w:p>
          <w:p>
            <w:r>
              <w:t>O:31.04.01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2020-N1QMS-1267598</w:t>
            </w:r>
          </w:p>
          <w:p>
            <w:r>
              <w:t>2020-N1EMS-1267598</w:t>
            </w:r>
          </w:p>
          <w:p>
            <w:r>
              <w:t>2021-N0OHSMS-1267598</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组员</w:t>
            </w:r>
          </w:p>
        </w:tc>
        <w:tc>
          <w:tcPr>
            <w:tcW w:w="711" w:type="dxa"/>
            <w:vAlign w:val="center"/>
          </w:tcPr>
          <w:p>
            <w:r>
              <w:t>男</w:t>
            </w:r>
          </w:p>
        </w:tc>
        <w:tc>
          <w:tcPr>
            <w:tcW w:w="3870" w:type="dxa"/>
            <w:vAlign w:val="center"/>
          </w:tcPr>
          <w:p>
            <w:r>
              <w:t>2020-N1QMS-1262293</w:t>
            </w:r>
          </w:p>
          <w:p>
            <w:r>
              <w:t>2020-N1EMS-1262293</w:t>
            </w:r>
          </w:p>
          <w:p>
            <w:r>
              <w:t>2021-N0OHSMS-1262293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lang w:eastAsia="zh-CN"/>
        </w:rPr>
        <w:t>■</w:t>
      </w:r>
      <w:r>
        <w:rPr>
          <w:rFonts w:hint="eastAsia"/>
        </w:rPr>
        <w:t xml:space="preserve">QMS □EcMS </w:t>
      </w:r>
      <w:r>
        <w:rPr>
          <w:rFonts w:hint="eastAsia"/>
          <w:lang w:eastAsia="zh-CN"/>
        </w:rPr>
        <w:t>■</w:t>
      </w:r>
      <w:r>
        <w:rPr>
          <w:rFonts w:hint="eastAsia"/>
        </w:rPr>
        <w:t xml:space="preserve">EMS </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w:t>
            </w:r>
            <w:r>
              <w:rPr>
                <w:rFonts w:hint="eastAsia"/>
                <w:lang w:eastAsia="zh-CN"/>
              </w:rPr>
              <w:t>■</w:t>
            </w:r>
            <w:r>
              <w:rPr>
                <w:rFonts w:hint="eastAsia"/>
              </w:rPr>
              <w:t>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已完成整改，且无类似问题再次发生，整改有效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ascii="宋体" w:hAnsi="宋体" w:eastAsia="宋体" w:cs="宋体"/>
                <w:highlight w:val="none"/>
              </w:rPr>
              <w:t>■</w:t>
            </w: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lang w:eastAsia="zh-CN"/>
              </w:rPr>
              <w:t>■</w:t>
            </w:r>
            <w:r>
              <w:rPr>
                <w:rFonts w:hint="eastAsia"/>
                <w:highlight w:val="none"/>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rFonts w:ascii="宋体" w:hAnsi="宋体"/>
                <w:b/>
                <w:color w:val="000000" w:themeColor="text1"/>
                <w:sz w:val="20"/>
                <w:szCs w:val="20"/>
              </w:rPr>
              <w:t>许可范围内的普通货运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rFonts w:ascii="宋体" w:hAnsi="宋体"/>
                <w:b/>
                <w:color w:val="000000" w:themeColor="text1"/>
                <w:sz w:val="20"/>
                <w:szCs w:val="20"/>
              </w:rPr>
              <w:t>许可范围内的普通货运所涉及的相关环境管理活动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rFonts w:ascii="宋体" w:hAnsi="宋体"/>
                <w:b/>
                <w:color w:val="000000" w:themeColor="text1"/>
                <w:sz w:val="20"/>
                <w:szCs w:val="20"/>
              </w:rPr>
              <w:t>许可范围内的普通货运所涉及的相关职业健康安全管理活动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b/>
                <w:sz w:val="22"/>
                <w:szCs w:val="22"/>
              </w:rPr>
              <w:drawing>
                <wp:anchor distT="0" distB="0" distL="114300" distR="114300" simplePos="0" relativeHeight="251661312" behindDoc="1" locked="0" layoutInCell="1" allowOverlap="1">
                  <wp:simplePos x="0" y="0"/>
                  <wp:positionH relativeFrom="column">
                    <wp:posOffset>295910</wp:posOffset>
                  </wp:positionH>
                  <wp:positionV relativeFrom="paragraph">
                    <wp:posOffset>-2540</wp:posOffset>
                  </wp:positionV>
                  <wp:extent cx="621030" cy="389255"/>
                  <wp:effectExtent l="0" t="0" r="3810" b="6985"/>
                  <wp:wrapNone/>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6" cstate="print"/>
                          <a:srcRect/>
                          <a:stretch>
                            <a:fillRect/>
                          </a:stretch>
                        </pic:blipFill>
                        <pic:spPr>
                          <a:xfrm>
                            <a:off x="0" y="0"/>
                            <a:ext cx="621030" cy="389255"/>
                          </a:xfrm>
                          <a:prstGeom prst="rect">
                            <a:avLst/>
                          </a:prstGeom>
                          <a:noFill/>
                          <a:ln w="9525">
                            <a:noFill/>
                            <a:miter lim="800000"/>
                            <a:headEnd/>
                            <a:tailEnd/>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auto"/>
                <w:szCs w:val="21"/>
                <w:lang w:val="en-US" w:eastAsia="zh-CN"/>
              </w:rPr>
              <w:t>2021.9.9</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rPr>
          <w:shd w:val="clear" w:color="FFFFFF" w:fill="D9D9D9"/>
        </w:rPr>
      </w:pPr>
      <w:r>
        <w:rPr>
          <w:shd w:val="clear" w:color="FFFFFF" w:fill="D9D9D9"/>
        </w:rPr>
        <w:br w:type="page"/>
      </w: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52"/>
            </w:r>
            <w:r>
              <w:rPr>
                <w:rFonts w:hint="eastAsia"/>
              </w:rPr>
              <w:t xml:space="preserve">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□文化 </w:t>
                  </w:r>
                  <w:r>
                    <w:rPr>
                      <w:rFonts w:hint="eastAsia"/>
                    </w:rPr>
                    <w:sym w:font="Wingdings 2" w:char="0052"/>
                  </w:r>
                  <w:r>
                    <w:rPr>
                      <w:rFonts w:hint="eastAsia"/>
                    </w:rPr>
                    <w:t xml:space="preserve">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□绩效 □工艺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A3"/>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□检测水平□合同评审 □知识保密 </w:t>
            </w:r>
          </w:p>
          <w:p>
            <w:pPr>
              <w:shd w:val="clear" w:color="auto" w:fill="C7DAF1" w:themeFill="text2" w:themeFillTint="32"/>
              <w:spacing w:before="40" w:after="40"/>
            </w:pPr>
            <w:r>
              <w:rPr>
                <w:rFonts w:hint="eastAsia"/>
              </w:rPr>
              <w:t xml:space="preserve">□新产品设计开发 □原材料采购 □外部供方控制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□生产/服务过程 □检验检测 </w:t>
            </w:r>
            <w:r>
              <w:rPr>
                <w:rFonts w:hint="eastAsia"/>
              </w:rPr>
              <w:sym w:font="Wingdings 2" w:char="0052"/>
            </w:r>
            <w:r>
              <w:rPr>
                <w:rFonts w:hint="eastAsia"/>
              </w:rPr>
              <w:t xml:space="preserve">产品运输 </w:t>
            </w:r>
            <w:r>
              <w:rPr>
                <w:rFonts w:hint="eastAsia"/>
              </w:rPr>
              <w:sym w:font="Wingdings 2" w:char="0052"/>
            </w:r>
            <w:r>
              <w:rPr>
                <w:rFonts w:hint="eastAsia"/>
              </w:rPr>
              <w:t>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□法规宣传 □风险机遇的应对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最高管理者制定了文件化的管理体系方针：</w:t>
            </w:r>
            <w:r>
              <w:rPr>
                <w:rFonts w:hint="eastAsia"/>
                <w:u w:val="single"/>
              </w:rPr>
              <w:t xml:space="preserve">    科学领先，顾客满意，持续改进，行业领先，服务一流</w:t>
            </w:r>
            <w:r>
              <w:rPr>
                <w:rFonts w:hint="eastAsia"/>
                <w:u w:val="single"/>
                <w:lang w:eastAsia="zh-CN"/>
              </w:rPr>
              <w:t>；预防为主，遵规守法，确保环境安全；以人为本，持续改进，实现平安和谐。</w:t>
            </w:r>
            <w:r>
              <w:rPr>
                <w:rFonts w:hint="eastAsia"/>
                <w:u w:val="single"/>
              </w:rPr>
              <w:t xml:space="preserve">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货运部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eastAsia="zh-CN"/>
                    </w:rPr>
                    <w:t>服务质量不良造成客户流失</w:t>
                  </w:r>
                </w:p>
              </w:tc>
              <w:tc>
                <w:tcPr>
                  <w:tcW w:w="3965" w:type="dxa"/>
                  <w:vAlign w:val="top"/>
                </w:tcPr>
                <w:p>
                  <w:pPr>
                    <w:pStyle w:val="25"/>
                    <w:snapToGrid w:val="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质量管理部门、业务管理部门需与客户沟通好服务质量要求，并编制作业指导书，确保公司与客户双方质量要求一致；</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负责业务人员不定期拜访客户，沟通客户要求，确保服务质量满足客户要求。</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合同履行率100%</w:t>
                  </w:r>
                </w:p>
              </w:tc>
              <w:tc>
                <w:tcPr>
                  <w:tcW w:w="3136" w:type="dxa"/>
                  <w:shd w:val="clear" w:color="auto" w:fill="auto"/>
                  <w:vAlign w:val="center"/>
                </w:tcPr>
                <w:p>
                  <w:pPr>
                    <w:shd w:val="clear" w:color="auto" w:fill="C7DAF1" w:themeFill="text2" w:themeFillTint="32"/>
                    <w:rPr>
                      <w:lang w:val="en-GB"/>
                    </w:rPr>
                  </w:pPr>
                  <w:r>
                    <w:rPr>
                      <w:rFonts w:hint="eastAsia"/>
                      <w:lang w:val="en-GB"/>
                    </w:rPr>
                    <w:t>按时完成数/合同总数*100%</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行政部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顾客满意率≥90分</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rPr>
                    <w:t>满意得分和/总调查数</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行政部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vAlign w:val="top"/>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vAlign w:val="top"/>
          </w:tcPr>
          <w:p>
            <w:pPr>
              <w:shd w:val="clear" w:color="auto" w:fill="C7DAF1" w:themeFill="text2" w:themeFillTint="32"/>
              <w:rPr>
                <w:highlight w:val="none"/>
              </w:rPr>
            </w:pPr>
            <w:r>
              <w:rPr>
                <w:highlight w:val="none"/>
              </w:rPr>
              <w:t>组织应确定并配备所需的</w:t>
            </w:r>
            <w:r>
              <w:rPr>
                <w:rFonts w:hint="eastAsia"/>
                <w:highlight w:val="none"/>
              </w:rPr>
              <w:t>管理人员、技术</w:t>
            </w:r>
            <w:r>
              <w:rPr>
                <w:highlight w:val="none"/>
              </w:rPr>
              <w:t>人员</w:t>
            </w:r>
            <w:r>
              <w:rPr>
                <w:rFonts w:hint="eastAsia"/>
                <w:highlight w:val="none"/>
              </w:rPr>
              <w:t>和生产操作/服务提供人员：</w:t>
            </w:r>
          </w:p>
          <w:p>
            <w:pPr>
              <w:shd w:val="clear" w:color="auto" w:fill="C7DAF1" w:themeFill="text2" w:themeFillTint="32"/>
              <w:rPr>
                <w:highlight w:val="none"/>
              </w:rPr>
            </w:pPr>
            <w:r>
              <w:rPr>
                <w:rFonts w:hint="eastAsia"/>
                <w:highlight w:val="none"/>
                <w:lang w:eastAsia="zh-CN"/>
              </w:rPr>
              <w:t>☑</w:t>
            </w: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可满足质量管理体系运行；</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可基本满足质量管理体系运行，但是还有不足需要补充：</w:t>
            </w:r>
            <w:r>
              <w:rPr>
                <w:rFonts w:hint="eastAsia"/>
                <w:highlight w:val="none"/>
                <w:u w:val="single"/>
              </w:rPr>
              <w:t xml:space="preserve">      </w:t>
            </w:r>
          </w:p>
          <w:p>
            <w:pPr>
              <w:shd w:val="clear" w:color="auto" w:fill="C7DAF1" w:themeFill="text2" w:themeFillTint="32"/>
              <w:rPr>
                <w:rFonts w:ascii="Times New Roman" w:hAnsi="Times New Roman" w:eastAsia="宋体" w:cs="Times New Roman"/>
                <w:kern w:val="2"/>
                <w:sz w:val="21"/>
                <w:szCs w:val="24"/>
                <w:highlight w:val="none"/>
                <w:lang w:val="en-US" w:eastAsia="zh-CN" w:bidi="ar-SA"/>
              </w:rPr>
            </w:pP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完全不能满足质量管理体系运行，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组织应确定、提供并维护所需的基础设施情况：</w:t>
            </w:r>
          </w:p>
          <w:p>
            <w:pPr>
              <w:shd w:val="clear" w:color="auto" w:fill="C7DAF1" w:themeFill="text2" w:themeFillTint="32"/>
              <w:rPr>
                <w:highlight w:val="none"/>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150</w:t>
            </w:r>
            <w:r>
              <w:rPr>
                <w:rFonts w:hint="eastAsia"/>
                <w:highlight w:val="none"/>
                <w:u w:val="single"/>
              </w:rPr>
              <w:t xml:space="preserve">  </w:t>
            </w:r>
            <w:r>
              <w:rPr>
                <w:rFonts w:hint="eastAsia"/>
                <w:highlight w:val="none"/>
              </w:rPr>
              <w:t>平方米；生产车间</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rPr>
              <w:t>个；</w:t>
            </w:r>
          </w:p>
          <w:p>
            <w:pPr>
              <w:shd w:val="clear" w:color="auto" w:fill="C7DAF1" w:themeFill="text2" w:themeFillTint="32"/>
              <w:rPr>
                <w:highlight w:val="none"/>
                <w:u w:val="single"/>
              </w:rPr>
            </w:pPr>
            <w:r>
              <w:rPr>
                <w:rFonts w:hint="eastAsia"/>
                <w:highlight w:val="none"/>
              </w:rPr>
              <w:t>主要生产设备有：</w:t>
            </w:r>
            <w:r>
              <w:rPr>
                <w:rFonts w:hint="eastAsia"/>
                <w:highlight w:val="none"/>
                <w:u w:val="single"/>
              </w:rPr>
              <w:t xml:space="preserve">     </w:t>
            </w:r>
            <w:r>
              <w:rPr>
                <w:rFonts w:hint="eastAsia"/>
                <w:highlight w:val="none"/>
                <w:u w:val="single"/>
                <w:lang w:eastAsia="zh-CN"/>
              </w:rPr>
              <w:t>汽车、</w:t>
            </w:r>
            <w:r>
              <w:rPr>
                <w:rFonts w:hint="eastAsia"/>
                <w:highlight w:val="none"/>
                <w:u w:val="single"/>
                <w:lang w:val="en-US" w:eastAsia="zh-CN"/>
              </w:rPr>
              <w:t>电脑及办公设备</w:t>
            </w:r>
            <w:r>
              <w:rPr>
                <w:rFonts w:hint="eastAsia"/>
                <w:highlight w:val="none"/>
                <w:u w:val="single"/>
              </w:rPr>
              <w:t xml:space="preserve">           （列举2~4种）</w:t>
            </w:r>
          </w:p>
          <w:p>
            <w:pPr>
              <w:shd w:val="clear" w:color="auto" w:fill="C7DAF1" w:themeFill="text2" w:themeFillTint="32"/>
              <w:rPr>
                <w:highlight w:val="none"/>
              </w:rPr>
            </w:pPr>
            <w:r>
              <w:rPr>
                <w:rFonts w:hint="eastAsia"/>
                <w:highlight w:val="none"/>
              </w:rPr>
              <w:t>特种设备：</w:t>
            </w:r>
            <w:r>
              <w:rPr>
                <w:rFonts w:hint="eastAsia" w:ascii="Wingdings" w:hAnsi="Wingdings"/>
                <w:highlight w:val="none"/>
              </w:rPr>
              <w:t>¨</w:t>
            </w:r>
            <w:r>
              <w:rPr>
                <w:rFonts w:hint="eastAsia"/>
                <w:highlight w:val="none"/>
              </w:rPr>
              <w:t xml:space="preserve">叉车 </w:t>
            </w:r>
            <w:r>
              <w:rPr>
                <w:rFonts w:hint="eastAsia" w:ascii="Wingdings" w:hAnsi="Wingdings"/>
                <w:highlight w:val="none"/>
              </w:rPr>
              <w:t>¨</w:t>
            </w:r>
            <w:r>
              <w:rPr>
                <w:rFonts w:hint="eastAsia"/>
                <w:highlight w:val="none"/>
              </w:rPr>
              <w:t xml:space="preserve">行车 </w:t>
            </w:r>
            <w:r>
              <w:rPr>
                <w:rFonts w:hint="eastAsia" w:ascii="Wingdings" w:hAnsi="Wingdings"/>
                <w:highlight w:val="none"/>
              </w:rPr>
              <w:t>¨</w:t>
            </w:r>
            <w:r>
              <w:rPr>
                <w:rFonts w:hint="eastAsia"/>
                <w:highlight w:val="none"/>
              </w:rPr>
              <w:t xml:space="preserve">锅炉 </w:t>
            </w:r>
            <w:r>
              <w:rPr>
                <w:rFonts w:hint="eastAsia" w:ascii="Wingdings" w:hAnsi="Wingdings"/>
                <w:highlight w:val="none"/>
              </w:rPr>
              <w:t>¨</w:t>
            </w:r>
            <w:r>
              <w:rPr>
                <w:rFonts w:hint="eastAsia"/>
                <w:highlight w:val="none"/>
              </w:rPr>
              <w:t xml:space="preserve">电梯  </w:t>
            </w:r>
            <w:r>
              <w:rPr>
                <w:rFonts w:hint="eastAsia" w:ascii="Wingdings" w:hAnsi="Wingdings"/>
                <w:highlight w:val="none"/>
              </w:rPr>
              <w:t>¨</w:t>
            </w:r>
            <w:r>
              <w:rPr>
                <w:rFonts w:hint="eastAsia"/>
                <w:highlight w:val="none"/>
              </w:rPr>
              <w:t xml:space="preserve">压力容器  </w:t>
            </w:r>
            <w:r>
              <w:rPr>
                <w:rFonts w:hint="eastAsia" w:ascii="Wingdings" w:hAnsi="Wingdings"/>
                <w:highlight w:val="none"/>
              </w:rPr>
              <w:t>¨</w:t>
            </w:r>
            <w:r>
              <w:rPr>
                <w:rFonts w:hint="eastAsia"/>
                <w:highlight w:val="none"/>
              </w:rPr>
              <w:t xml:space="preserve">压力管道  </w:t>
            </w:r>
            <w:r>
              <w:rPr>
                <w:rFonts w:hint="eastAsia"/>
                <w:highlight w:val="none"/>
              </w:rPr>
              <w:sym w:font="Wingdings 2" w:char="0052"/>
            </w:r>
            <w:r>
              <w:rPr>
                <w:rFonts w:hint="eastAsia"/>
                <w:highlight w:val="none"/>
              </w:rPr>
              <w:t xml:space="preserve">不适用  </w:t>
            </w:r>
          </w:p>
          <w:p>
            <w:pPr>
              <w:shd w:val="clear" w:color="auto" w:fill="C7DAF1" w:themeFill="text2" w:themeFillTint="32"/>
              <w:rPr>
                <w:highlight w:val="none"/>
                <w:u w:val="single"/>
              </w:rPr>
            </w:pPr>
            <w:r>
              <w:rPr>
                <w:rFonts w:hint="eastAsia"/>
                <w:highlight w:val="none"/>
              </w:rPr>
              <w:t>特种设备管理：</w:t>
            </w:r>
            <w:r>
              <w:rPr>
                <w:rFonts w:hint="eastAsia" w:ascii="Wingdings" w:hAnsi="Wingdings"/>
                <w:highlight w:val="none"/>
              </w:rPr>
              <w:t>¨</w:t>
            </w:r>
            <w:r>
              <w:rPr>
                <w:rFonts w:hint="eastAsia"/>
                <w:highlight w:val="none"/>
              </w:rPr>
              <w:t xml:space="preserve">进行了定期检验  </w:t>
            </w:r>
            <w:r>
              <w:rPr>
                <w:rFonts w:hint="eastAsia" w:ascii="Wingdings" w:hAnsi="Wingdings"/>
                <w:highlight w:val="none"/>
              </w:rPr>
              <w:t>¨</w:t>
            </w:r>
            <w:r>
              <w:rPr>
                <w:rFonts w:hint="eastAsia"/>
                <w:highlight w:val="none"/>
              </w:rPr>
              <w:t xml:space="preserve">未进行定期检验的有： </w:t>
            </w:r>
            <w:r>
              <w:rPr>
                <w:rFonts w:hint="eastAsia"/>
                <w:highlight w:val="none"/>
                <w:u w:val="single"/>
              </w:rPr>
              <w:t xml:space="preserve">            </w:t>
            </w:r>
          </w:p>
          <w:p>
            <w:pPr>
              <w:shd w:val="clear" w:color="auto" w:fill="C7DAF1" w:themeFill="text2" w:themeFillTint="32"/>
              <w:rPr>
                <w:highlight w:val="none"/>
              </w:rPr>
            </w:pPr>
            <w:r>
              <w:rPr>
                <w:rFonts w:hint="eastAsia"/>
                <w:highlight w:val="none"/>
              </w:rPr>
              <w:sym w:font="Wingdings 2" w:char="0052"/>
            </w:r>
            <w:r>
              <w:rPr>
                <w:rFonts w:hint="eastAsia"/>
                <w:highlight w:val="none"/>
              </w:rPr>
              <w:t>组织</w:t>
            </w:r>
            <w:r>
              <w:rPr>
                <w:highlight w:val="none"/>
              </w:rPr>
              <w:t>现有</w:t>
            </w:r>
            <w:r>
              <w:rPr>
                <w:rFonts w:hint="eastAsia"/>
                <w:highlight w:val="none"/>
              </w:rPr>
              <w:t>基础设施可满足质量管理体系运行；</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基础设施可基本满足质量管理体系运行，但是还有不足需要补充：</w:t>
            </w:r>
            <w:r>
              <w:rPr>
                <w:rFonts w:hint="eastAsia"/>
                <w:highlight w:val="none"/>
                <w:u w:val="single"/>
              </w:rPr>
              <w:t xml:space="preserve">           </w:t>
            </w:r>
          </w:p>
          <w:p>
            <w:pPr>
              <w:shd w:val="clear" w:color="auto" w:fill="C7DAF1" w:themeFill="text2" w:themeFillTint="32"/>
              <w:rPr>
                <w:highlight w:val="none"/>
                <w:u w:val="single"/>
              </w:rPr>
            </w:pPr>
            <w:r>
              <w:rPr>
                <w:rFonts w:hint="eastAsia"/>
                <w:highlight w:val="none"/>
              </w:rPr>
              <w:t>□组织</w:t>
            </w:r>
            <w:r>
              <w:rPr>
                <w:highlight w:val="none"/>
              </w:rPr>
              <w:t>现有</w:t>
            </w:r>
            <w:r>
              <w:rPr>
                <w:rFonts w:hint="eastAsia"/>
                <w:highlight w:val="none"/>
              </w:rPr>
              <w:t>基础设施完全不能满足质量管理体系运行，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1299"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组织的</w:t>
            </w:r>
            <w:r>
              <w:rPr>
                <w:highlight w:val="none"/>
              </w:rPr>
              <w:t>监视和测量资源</w:t>
            </w:r>
            <w:r>
              <w:rPr>
                <w:rFonts w:hint="eastAsia"/>
                <w:highlight w:val="none"/>
              </w:rPr>
              <w:t>：</w:t>
            </w:r>
            <w:r>
              <w:rPr>
                <w:rFonts w:hint="eastAsia"/>
                <w:highlight w:val="none"/>
                <w:lang w:eastAsia="zh-CN"/>
              </w:rPr>
              <w:t>☑</w:t>
            </w:r>
            <w:r>
              <w:rPr>
                <w:rFonts w:hint="eastAsia"/>
                <w:highlight w:val="none"/>
              </w:rPr>
              <w:t xml:space="preserve">计量器具   </w:t>
            </w:r>
            <w:r>
              <w:rPr>
                <w:rFonts w:hint="eastAsia" w:ascii="Wingdings" w:hAnsi="Wingdings"/>
                <w:highlight w:val="none"/>
              </w:rPr>
              <w:t>¨</w:t>
            </w:r>
            <w:r>
              <w:rPr>
                <w:rFonts w:hint="eastAsia"/>
                <w:highlight w:val="none"/>
              </w:rPr>
              <w:t xml:space="preserve">服务流程检查表  </w:t>
            </w:r>
            <w:r>
              <w:rPr>
                <w:rFonts w:hint="eastAsia" w:ascii="Wingdings" w:hAnsi="Wingdings"/>
                <w:highlight w:val="none"/>
              </w:rPr>
              <w:t>¨</w:t>
            </w:r>
            <w:r>
              <w:rPr>
                <w:rFonts w:hint="eastAsia"/>
                <w:highlight w:val="none"/>
              </w:rPr>
              <w:t>其他</w:t>
            </w:r>
          </w:p>
          <w:p>
            <w:pPr>
              <w:shd w:val="clear" w:color="auto" w:fill="C7DAF1" w:themeFill="text2" w:themeFillTint="32"/>
              <w:rPr>
                <w:highlight w:val="none"/>
              </w:rPr>
            </w:pPr>
            <w:r>
              <w:rPr>
                <w:rFonts w:hint="eastAsia"/>
                <w:highlight w:val="none"/>
              </w:rPr>
              <w:t>计量器具的</w:t>
            </w:r>
            <w:r>
              <w:rPr>
                <w:highlight w:val="none"/>
              </w:rPr>
              <w:t>测量溯源</w:t>
            </w:r>
            <w:r>
              <w:rPr>
                <w:rFonts w:hint="eastAsia"/>
                <w:highlight w:val="none"/>
              </w:rPr>
              <w:t xml:space="preserve">方法：  </w:t>
            </w:r>
            <w:r>
              <w:rPr>
                <w:rFonts w:hint="eastAsia"/>
                <w:highlight w:val="none"/>
                <w:lang w:eastAsia="zh-CN"/>
              </w:rPr>
              <w:t>☑</w:t>
            </w:r>
            <w:r>
              <w:rPr>
                <w:rFonts w:hint="eastAsia"/>
                <w:highlight w:val="none"/>
              </w:rPr>
              <w:t xml:space="preserve">自校   </w:t>
            </w:r>
            <w:r>
              <w:rPr>
                <w:rFonts w:hint="eastAsia" w:ascii="Wingdings" w:hAnsi="Wingdings"/>
                <w:highlight w:val="none"/>
              </w:rPr>
              <w:t>¨</w:t>
            </w:r>
            <w:r>
              <w:rPr>
                <w:rFonts w:hint="eastAsia"/>
                <w:highlight w:val="none"/>
              </w:rPr>
              <w:t xml:space="preserve">外校 </w:t>
            </w:r>
          </w:p>
          <w:p>
            <w:pPr>
              <w:shd w:val="clear" w:color="auto" w:fill="C7DAF1" w:themeFill="text2" w:themeFillTint="32"/>
              <w:rPr>
                <w:highlight w:val="none"/>
                <w:u w:val="single"/>
              </w:rPr>
            </w:pPr>
            <w:r>
              <w:rPr>
                <w:rFonts w:hint="eastAsia"/>
                <w:highlight w:val="none"/>
              </w:rPr>
              <w:t>国家强检的计量器具有：</w:t>
            </w:r>
            <w:r>
              <w:rPr>
                <w:rFonts w:hint="eastAsia"/>
                <w:highlight w:val="none"/>
                <w:u w:val="single"/>
              </w:rPr>
              <w:t xml:space="preserve">   卫星定位监控设备（GPS）             （列举1~4种）</w:t>
            </w:r>
          </w:p>
          <w:p>
            <w:pPr>
              <w:shd w:val="clear" w:color="auto" w:fill="C7DAF1" w:themeFill="text2" w:themeFillTint="32"/>
              <w:rPr>
                <w:u w:val="single"/>
              </w:rPr>
            </w:pPr>
            <w:r>
              <w:rPr>
                <w:rFonts w:hint="eastAsia"/>
                <w:highlight w:val="none"/>
              </w:rPr>
              <w:t>计量器具管理：</w:t>
            </w:r>
            <w:r>
              <w:rPr>
                <w:rFonts w:hint="eastAsia"/>
                <w:highlight w:val="none"/>
                <w:lang w:eastAsia="zh-CN"/>
              </w:rPr>
              <w:t>☑</w:t>
            </w:r>
            <w:r>
              <w:rPr>
                <w:rFonts w:hint="eastAsia"/>
                <w:highlight w:val="none"/>
              </w:rPr>
              <w:t xml:space="preserve">进行了定期校准/检定  </w:t>
            </w:r>
            <w:r>
              <w:rPr>
                <w:rFonts w:hint="eastAsia" w:ascii="Wingdings" w:hAnsi="Wingdings"/>
                <w:highlight w:val="none"/>
              </w:rPr>
              <w:t>¨</w:t>
            </w:r>
            <w:r>
              <w:rPr>
                <w:rFonts w:hint="eastAsia"/>
                <w:highlight w:val="none"/>
              </w:rPr>
              <w:t xml:space="preserve">未进行定期校准/检定的有： </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ascii="Wingdings" w:hAnsi="Wingdings"/>
                <w:lang w:eastAsia="zh-CN"/>
              </w:rPr>
              <w:t>☑</w:t>
            </w:r>
            <w:r>
              <w:rPr>
                <w:rFonts w:hint="eastAsia"/>
              </w:rPr>
              <w:t xml:space="preserve">管理软件  </w:t>
            </w:r>
            <w:r>
              <w:rPr>
                <w:rFonts w:hint="eastAsia" w:ascii="Wingdings" w:hAnsi="Wingdings"/>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sym w:font="Wingdings 2" w:char="0052"/>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rFonts w:ascii="Times New Roman" w:hAnsi="Times New Roman" w:eastAsia="宋体" w:cs="Times New Roman"/>
                <w:kern w:val="2"/>
                <w:sz w:val="21"/>
                <w:szCs w:val="24"/>
                <w:highlight w:val="yellow"/>
                <w:lang w:val="en-US" w:eastAsia="zh-CN" w:bidi="ar-SA"/>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sym w:font="Wingdings 2" w:char="0052"/>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t>□</w:t>
            </w:r>
            <w:r>
              <w:rPr>
                <w:rFonts w:hint="eastAsia"/>
              </w:rPr>
              <w:t xml:space="preserve">外来标准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提供给外部供方的信息</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u w:val="single"/>
                <w:lang w:val="en-US" w:eastAsia="zh-CN"/>
              </w:rPr>
              <w:t>外包过程：物运输业务、货运车辆保养维护</w:t>
            </w:r>
            <w:r>
              <w:rPr>
                <w:rFonts w:hint="eastAsia"/>
                <w:u w:val="single"/>
              </w:rPr>
              <w:t xml:space="preserve"> </w:t>
            </w:r>
            <w:r>
              <w:rPr>
                <w:rFonts w:hint="eastAsia"/>
                <w:u w:val="single"/>
                <w:lang w:val="en-US" w:eastAsia="zh-CN"/>
              </w:rPr>
              <w:t>提供有外包合同</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sz w:val="20"/>
                      <w:szCs w:val="22"/>
                      <w:highlight w:val="none"/>
                    </w:rPr>
                  </w:pPr>
                  <w:r>
                    <w:rPr>
                      <w:rFonts w:hint="eastAsia"/>
                      <w:sz w:val="20"/>
                      <w:szCs w:val="22"/>
                      <w:highlight w:val="none"/>
                    </w:rPr>
                    <w:t>产品/服务名称</w:t>
                  </w:r>
                </w:p>
              </w:tc>
              <w:tc>
                <w:tcPr>
                  <w:tcW w:w="3665" w:type="dxa"/>
                </w:tcPr>
                <w:p>
                  <w:pPr>
                    <w:shd w:val="clear" w:color="auto" w:fill="C7DAF1" w:themeFill="text2" w:themeFillTint="32"/>
                    <w:jc w:val="left"/>
                    <w:rPr>
                      <w:sz w:val="20"/>
                      <w:szCs w:val="22"/>
                      <w:highlight w:val="none"/>
                    </w:rPr>
                  </w:pPr>
                  <w:r>
                    <w:rPr>
                      <w:rFonts w:hint="eastAsia"/>
                      <w:sz w:val="20"/>
                      <w:szCs w:val="22"/>
                      <w:highlight w:val="none"/>
                    </w:rPr>
                    <w:t>关键过程</w:t>
                  </w:r>
                </w:p>
              </w:tc>
              <w:tc>
                <w:tcPr>
                  <w:tcW w:w="3265" w:type="dxa"/>
                </w:tcPr>
                <w:p>
                  <w:pPr>
                    <w:shd w:val="clear" w:color="auto" w:fill="C7DAF1" w:themeFill="text2" w:themeFillTint="32"/>
                    <w:jc w:val="left"/>
                    <w:rPr>
                      <w:sz w:val="20"/>
                      <w:szCs w:val="22"/>
                      <w:highlight w:val="none"/>
                    </w:rPr>
                  </w:pPr>
                  <w:r>
                    <w:rPr>
                      <w:rFonts w:hint="eastAsia"/>
                      <w:sz w:val="20"/>
                      <w:szCs w:val="22"/>
                      <w:highlight w:val="none"/>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sz w:val="20"/>
                      <w:szCs w:val="22"/>
                      <w:highlight w:val="none"/>
                      <w:lang w:val="en-US" w:eastAsia="zh-CN"/>
                    </w:rPr>
                  </w:pPr>
                  <w:r>
                    <w:rPr>
                      <w:rFonts w:hint="eastAsia"/>
                      <w:sz w:val="20"/>
                      <w:szCs w:val="22"/>
                      <w:highlight w:val="none"/>
                      <w:lang w:val="en-US" w:eastAsia="zh-CN"/>
                    </w:rPr>
                    <w:t>普通货运</w:t>
                  </w:r>
                </w:p>
              </w:tc>
              <w:tc>
                <w:tcPr>
                  <w:tcW w:w="3665" w:type="dxa"/>
                </w:tcPr>
                <w:p>
                  <w:pPr>
                    <w:shd w:val="clear" w:color="auto" w:fill="C7DAF1" w:themeFill="text2" w:themeFillTint="32"/>
                    <w:jc w:val="left"/>
                    <w:rPr>
                      <w:rFonts w:hint="default" w:eastAsia="宋体"/>
                      <w:sz w:val="20"/>
                      <w:szCs w:val="22"/>
                      <w:highlight w:val="none"/>
                      <w:lang w:val="en-US" w:eastAsia="zh-CN"/>
                    </w:rPr>
                  </w:pPr>
                  <w:r>
                    <w:rPr>
                      <w:rFonts w:hint="eastAsia"/>
                      <w:sz w:val="20"/>
                      <w:szCs w:val="22"/>
                      <w:highlight w:val="none"/>
                      <w:lang w:val="en-US" w:eastAsia="zh-CN"/>
                    </w:rPr>
                    <w:t>运输过程</w:t>
                  </w:r>
                </w:p>
              </w:tc>
              <w:tc>
                <w:tcPr>
                  <w:tcW w:w="3265" w:type="dxa"/>
                </w:tcPr>
                <w:p>
                  <w:pPr>
                    <w:shd w:val="clear" w:color="auto" w:fill="C7DAF1" w:themeFill="text2" w:themeFillTint="32"/>
                    <w:jc w:val="left"/>
                    <w:rPr>
                      <w:rFonts w:hint="default" w:eastAsia="宋体"/>
                      <w:sz w:val="20"/>
                      <w:szCs w:val="22"/>
                      <w:highlight w:val="none"/>
                      <w:lang w:val="en-US" w:eastAsia="zh-CN"/>
                    </w:rPr>
                  </w:pPr>
                  <w:r>
                    <w:rPr>
                      <w:rFonts w:hint="eastAsia"/>
                      <w:sz w:val="20"/>
                      <w:szCs w:val="22"/>
                      <w:highlight w:val="none"/>
                      <w:lang w:val="en-US" w:eastAsia="zh-CN"/>
                    </w:rPr>
                    <w:t>运输路线，车辆维护保养，货物防护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sz w:val="20"/>
                      <w:szCs w:val="22"/>
                      <w:highlight w:val="red"/>
                    </w:rPr>
                  </w:pPr>
                </w:p>
              </w:tc>
              <w:tc>
                <w:tcPr>
                  <w:tcW w:w="3665" w:type="dxa"/>
                </w:tcPr>
                <w:p>
                  <w:pPr>
                    <w:shd w:val="clear" w:color="auto" w:fill="C7DAF1" w:themeFill="text2" w:themeFillTint="32"/>
                    <w:jc w:val="left"/>
                    <w:rPr>
                      <w:sz w:val="20"/>
                      <w:szCs w:val="22"/>
                      <w:highlight w:val="red"/>
                    </w:rPr>
                  </w:pPr>
                </w:p>
              </w:tc>
              <w:tc>
                <w:tcPr>
                  <w:tcW w:w="3265" w:type="dxa"/>
                </w:tcPr>
                <w:p>
                  <w:pPr>
                    <w:shd w:val="clear" w:color="auto" w:fill="C7DAF1" w:themeFill="text2" w:themeFillTint="32"/>
                    <w:jc w:val="left"/>
                    <w:rPr>
                      <w:sz w:val="20"/>
                      <w:szCs w:val="22"/>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sz w:val="20"/>
                      <w:szCs w:val="22"/>
                      <w:highlight w:val="red"/>
                    </w:rPr>
                  </w:pPr>
                </w:p>
              </w:tc>
              <w:tc>
                <w:tcPr>
                  <w:tcW w:w="3665" w:type="dxa"/>
                </w:tcPr>
                <w:p>
                  <w:pPr>
                    <w:shd w:val="clear" w:color="auto" w:fill="C7DAF1" w:themeFill="text2" w:themeFillTint="32"/>
                    <w:jc w:val="left"/>
                    <w:rPr>
                      <w:sz w:val="20"/>
                      <w:szCs w:val="22"/>
                      <w:highlight w:val="red"/>
                    </w:rPr>
                  </w:pPr>
                </w:p>
              </w:tc>
              <w:tc>
                <w:tcPr>
                  <w:tcW w:w="3265" w:type="dxa"/>
                </w:tcPr>
                <w:p>
                  <w:pPr>
                    <w:shd w:val="clear" w:color="auto" w:fill="C7DAF1" w:themeFill="text2" w:themeFillTint="32"/>
                    <w:jc w:val="left"/>
                    <w:rPr>
                      <w:sz w:val="20"/>
                      <w:szCs w:val="22"/>
                      <w:highlight w:val="red"/>
                    </w:rPr>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ascii="Times New Roman" w:hAnsi="Times New Roman" w:eastAsia="宋体" w:cs="Times New Roman"/>
                <w:color w:val="000000"/>
                <w:u w:val="single"/>
                <w:lang w:val="en-US" w:eastAsia="zh-CN"/>
              </w:rPr>
              <w:t>无</w:t>
            </w:r>
            <w:r>
              <w:rPr>
                <w:rFonts w:hint="eastAsia" w:ascii="Times New Roman" w:hAnsi="Times New Roman" w:eastAsia="宋体" w:cs="Times New Roman"/>
                <w:color w:val="000000"/>
                <w:u w:val="single"/>
              </w:rPr>
              <w:t xml:space="preserve"> </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lang w:eastAsia="zh-CN"/>
              </w:rPr>
              <w:t>□</w:t>
            </w:r>
            <w:r>
              <w:rPr>
                <w:rFonts w:hint="eastAsia"/>
              </w:rPr>
              <w:t xml:space="preserve">进行了有效的确认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对生产和服务提供过程的控制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u w:val="single"/>
                <w:lang w:val="en-US" w:eastAsia="zh-CN"/>
              </w:rPr>
              <w:t>提供过程确认记录</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sym w:font="Wingdings 2" w:char="0052"/>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顾客或外部供方财产控制：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sym w:font="Wingdings 2" w:char="0052"/>
            </w:r>
            <w:r>
              <w:rPr>
                <w:rFonts w:hint="eastAsia"/>
              </w:rPr>
              <w:t xml:space="preserve">赔偿 </w:t>
            </w:r>
            <w:r>
              <w:rPr>
                <w:rFonts w:hint="eastAsia" w:ascii="Wingdings" w:hAnsi="Wingdings"/>
                <w:lang w:eastAsia="zh-CN"/>
              </w:rPr>
              <w:sym w:font="Wingdings 2" w:char="0052"/>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产品检验/服务放行：</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vAlign w:val="top"/>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sym w:font="Wingdings 2" w:char="0052"/>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rPr>
          <w:highlight w:val="none"/>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highlight w:val="none"/>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default" w:eastAsia="宋体"/>
                <w:highlight w:val="none"/>
                <w:lang w:val="en-US" w:eastAsia="zh-CN"/>
              </w:rPr>
            </w:pPr>
            <w:r>
              <w:rPr>
                <w:rFonts w:hint="eastAsia"/>
                <w:highlight w:val="none"/>
                <w:lang w:val="en-US" w:eastAsia="zh-CN"/>
              </w:rPr>
              <w:t>2</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yellow"/>
                <w:lang w:eastAsia="ja-JP"/>
              </w:rPr>
            </w:pPr>
          </w:p>
        </w:tc>
        <w:tc>
          <w:tcPr>
            <w:tcW w:w="650" w:type="dxa"/>
            <w:shd w:val="pct25" w:color="auto" w:fill="auto"/>
            <w:vAlign w:val="center"/>
          </w:tcPr>
          <w:p>
            <w:pPr>
              <w:shd w:val="clear" w:color="auto" w:fill="C7DAF1" w:themeFill="text2" w:themeFillTint="32"/>
              <w:rPr>
                <w:highlight w:val="yellow"/>
                <w:lang w:eastAsia="ja-JP"/>
              </w:rPr>
            </w:pPr>
          </w:p>
        </w:tc>
        <w:tc>
          <w:tcPr>
            <w:tcW w:w="650" w:type="dxa"/>
            <w:shd w:val="pct25" w:color="auto" w:fill="auto"/>
            <w:vAlign w:val="center"/>
          </w:tcPr>
          <w:p>
            <w:pPr>
              <w:shd w:val="clear" w:color="auto" w:fill="C7DAF1" w:themeFill="text2" w:themeFillTint="32"/>
              <w:rPr>
                <w:highlight w:val="yellow"/>
                <w:lang w:eastAsia="ja-JP"/>
              </w:rPr>
            </w:pPr>
          </w:p>
        </w:tc>
        <w:tc>
          <w:tcPr>
            <w:tcW w:w="649" w:type="dxa"/>
            <w:shd w:val="pct25" w:color="auto" w:fill="auto"/>
            <w:vAlign w:val="center"/>
          </w:tcPr>
          <w:p>
            <w:pPr>
              <w:shd w:val="clear" w:color="auto" w:fill="C7DAF1" w:themeFill="text2" w:themeFillTint="32"/>
              <w:rPr>
                <w:highlight w:val="yellow"/>
                <w:lang w:eastAsia="ja-JP"/>
              </w:rPr>
            </w:pPr>
          </w:p>
        </w:tc>
        <w:tc>
          <w:tcPr>
            <w:tcW w:w="650" w:type="dxa"/>
            <w:shd w:val="pct25" w:color="auto" w:fill="auto"/>
            <w:vAlign w:val="center"/>
          </w:tcPr>
          <w:p>
            <w:pPr>
              <w:shd w:val="clear" w:color="auto" w:fill="C7DAF1" w:themeFill="text2" w:themeFillTint="32"/>
              <w:rPr>
                <w:highlight w:val="yellow"/>
                <w:lang w:eastAsia="ja-JP"/>
              </w:rPr>
            </w:pPr>
          </w:p>
        </w:tc>
        <w:tc>
          <w:tcPr>
            <w:tcW w:w="650" w:type="dxa"/>
            <w:shd w:val="pct25" w:color="auto" w:fill="auto"/>
            <w:vAlign w:val="center"/>
          </w:tcPr>
          <w:p>
            <w:pPr>
              <w:shd w:val="clear" w:color="auto" w:fill="C7DAF1" w:themeFill="text2" w:themeFillTint="32"/>
              <w:rPr>
                <w:highlight w:val="yellow"/>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highlight w:val="yellow"/>
                <w:lang w:eastAsia="ja-JP"/>
              </w:rPr>
            </w:pPr>
          </w:p>
        </w:tc>
        <w:tc>
          <w:tcPr>
            <w:tcW w:w="650" w:type="dxa"/>
            <w:vAlign w:val="center"/>
          </w:tcPr>
          <w:p>
            <w:pPr>
              <w:shd w:val="clear" w:color="auto" w:fill="C7DAF1" w:themeFill="text2" w:themeFillTint="32"/>
              <w:rPr>
                <w:highlight w:val="yellow"/>
                <w:lang w:eastAsia="ja-JP"/>
              </w:rPr>
            </w:pPr>
          </w:p>
        </w:tc>
        <w:tc>
          <w:tcPr>
            <w:tcW w:w="650" w:type="dxa"/>
            <w:vAlign w:val="center"/>
          </w:tcPr>
          <w:p>
            <w:pPr>
              <w:shd w:val="clear" w:color="auto" w:fill="C7DAF1" w:themeFill="text2" w:themeFillTint="32"/>
              <w:rPr>
                <w:highlight w:val="yellow"/>
                <w:lang w:eastAsia="ja-JP"/>
              </w:rPr>
            </w:pPr>
          </w:p>
        </w:tc>
        <w:tc>
          <w:tcPr>
            <w:tcW w:w="649" w:type="dxa"/>
            <w:vAlign w:val="center"/>
          </w:tcPr>
          <w:p>
            <w:pPr>
              <w:shd w:val="clear" w:color="auto" w:fill="C7DAF1" w:themeFill="text2" w:themeFillTint="32"/>
              <w:rPr>
                <w:highlight w:val="yellow"/>
                <w:lang w:eastAsia="ja-JP"/>
              </w:rPr>
            </w:pPr>
          </w:p>
        </w:tc>
        <w:tc>
          <w:tcPr>
            <w:tcW w:w="650" w:type="dxa"/>
            <w:vAlign w:val="center"/>
          </w:tcPr>
          <w:p>
            <w:pPr>
              <w:shd w:val="clear" w:color="auto" w:fill="C7DAF1" w:themeFill="text2" w:themeFillTint="32"/>
              <w:rPr>
                <w:highlight w:val="yellow"/>
                <w:lang w:eastAsia="ja-JP"/>
              </w:rPr>
            </w:pPr>
          </w:p>
        </w:tc>
        <w:tc>
          <w:tcPr>
            <w:tcW w:w="650" w:type="dxa"/>
            <w:vAlign w:val="center"/>
          </w:tcPr>
          <w:p>
            <w:pPr>
              <w:shd w:val="clear" w:color="auto" w:fill="C7DAF1" w:themeFill="text2" w:themeFillTint="32"/>
              <w:rPr>
                <w:highlight w:val="yellow"/>
                <w:lang w:eastAsia="ja-JP"/>
              </w:rPr>
            </w:pPr>
          </w:p>
        </w:tc>
        <w:tc>
          <w:tcPr>
            <w:tcW w:w="649" w:type="dxa"/>
            <w:shd w:val="pct25" w:color="auto" w:fill="auto"/>
            <w:vAlign w:val="center"/>
          </w:tcPr>
          <w:p>
            <w:pPr>
              <w:shd w:val="clear" w:color="auto" w:fill="C7DAF1" w:themeFill="text2" w:themeFillTint="32"/>
              <w:rPr>
                <w:highlight w:val="yellow"/>
                <w:lang w:eastAsia="ja-JP"/>
              </w:rPr>
            </w:pPr>
          </w:p>
        </w:tc>
        <w:tc>
          <w:tcPr>
            <w:tcW w:w="650" w:type="dxa"/>
            <w:shd w:val="pct25" w:color="auto" w:fill="auto"/>
            <w:vAlign w:val="center"/>
          </w:tcPr>
          <w:p>
            <w:pPr>
              <w:shd w:val="clear" w:color="auto" w:fill="C7DAF1" w:themeFill="text2" w:themeFillTint="32"/>
              <w:rPr>
                <w:highlight w:val="yellow"/>
                <w:lang w:eastAsia="ja-JP"/>
              </w:rPr>
            </w:pPr>
          </w:p>
        </w:tc>
        <w:tc>
          <w:tcPr>
            <w:tcW w:w="650" w:type="dxa"/>
            <w:shd w:val="pct25" w:color="auto" w:fill="auto"/>
            <w:vAlign w:val="center"/>
          </w:tcPr>
          <w:p>
            <w:pPr>
              <w:shd w:val="clear" w:color="auto" w:fill="C7DAF1" w:themeFill="text2" w:themeFillTint="32"/>
              <w:rPr>
                <w:highlight w:val="yellow"/>
                <w:lang w:eastAsia="ja-JP"/>
              </w:rPr>
            </w:pPr>
          </w:p>
        </w:tc>
        <w:tc>
          <w:tcPr>
            <w:tcW w:w="649" w:type="dxa"/>
            <w:shd w:val="pct25" w:color="auto" w:fill="auto"/>
            <w:vAlign w:val="center"/>
          </w:tcPr>
          <w:p>
            <w:pPr>
              <w:shd w:val="clear" w:color="auto" w:fill="C7DAF1" w:themeFill="text2" w:themeFillTint="32"/>
              <w:rPr>
                <w:highlight w:val="yellow"/>
                <w:lang w:eastAsia="ja-JP"/>
              </w:rPr>
            </w:pPr>
          </w:p>
        </w:tc>
        <w:tc>
          <w:tcPr>
            <w:tcW w:w="650" w:type="dxa"/>
            <w:shd w:val="pct25" w:color="auto" w:fill="auto"/>
            <w:vAlign w:val="center"/>
          </w:tcPr>
          <w:p>
            <w:pPr>
              <w:shd w:val="clear" w:color="auto" w:fill="C7DAF1" w:themeFill="text2" w:themeFillTint="32"/>
              <w:rPr>
                <w:highlight w:val="yellow"/>
                <w:lang w:eastAsia="ja-JP"/>
              </w:rPr>
            </w:pPr>
          </w:p>
        </w:tc>
        <w:tc>
          <w:tcPr>
            <w:tcW w:w="650" w:type="dxa"/>
            <w:shd w:val="pct25" w:color="auto" w:fill="auto"/>
            <w:vAlign w:val="center"/>
          </w:tcPr>
          <w:p>
            <w:pPr>
              <w:shd w:val="clear" w:color="auto" w:fill="C7DAF1" w:themeFill="text2" w:themeFillTint="32"/>
              <w:rPr>
                <w:highlight w:val="yellow"/>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A3"/>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A3"/>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t xml:space="preserve">□政治 □监管  </w:t>
                  </w:r>
                  <w:r>
                    <w:rPr>
                      <w:rFonts w:hint="eastAsia"/>
                    </w:rPr>
                    <w:sym w:font="Wingdings 2" w:char="0052"/>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□知识 □绩效 □工艺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□采购 </w:t>
            </w:r>
            <w:r>
              <w:rPr>
                <w:rFonts w:hint="eastAsia"/>
              </w:rPr>
              <w:sym w:font="Wingdings 2" w:char="0052"/>
            </w:r>
            <w:r>
              <w:rPr>
                <w:rFonts w:hint="eastAsia"/>
              </w:rPr>
              <w:t xml:space="preserve">人力资源□营销和市场  □生产 □检验 □仓库管理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节约能源  </w:t>
            </w:r>
            <w:r>
              <w:rPr>
                <w:rFonts w:hint="eastAsia"/>
              </w:rPr>
              <w:sym w:font="Wingdings 2" w:char="0052"/>
            </w:r>
            <w:r>
              <w:rPr>
                <w:rFonts w:hint="eastAsia"/>
              </w:rPr>
              <w:t xml:space="preserve">节约资源 </w:t>
            </w:r>
            <w:r>
              <w:rPr>
                <w:rFonts w:hint="eastAsia"/>
              </w:rPr>
              <w:sym w:font="Wingdings 2" w:char="0052"/>
            </w:r>
            <w:r>
              <w:rPr>
                <w:rFonts w:hint="eastAsia"/>
              </w:rPr>
              <w:t xml:space="preserve">达标排放 □消防控制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w:t>
            </w:r>
            <w:r>
              <w:rPr>
                <w:rFonts w:hint="eastAsia"/>
              </w:rPr>
              <w:sym w:font="Wingdings 2" w:char="00A3"/>
            </w:r>
            <w:r>
              <w:rPr>
                <w:rFonts w:hint="eastAsia"/>
              </w:rPr>
              <w:t xml:space="preserve">消防检测 </w:t>
            </w:r>
            <w:r>
              <w:rPr>
                <w:rFonts w:hint="eastAsia"/>
              </w:rPr>
              <w:sym w:font="Wingdings 2" w:char="0052"/>
            </w:r>
            <w:r>
              <w:rPr>
                <w:rFonts w:hint="eastAsia"/>
              </w:rPr>
              <w:t xml:space="preserve">生产/服务过程 □环保监测 </w:t>
            </w:r>
            <w:r>
              <w:rPr>
                <w:rFonts w:hint="eastAsia"/>
              </w:rPr>
              <w:sym w:font="Wingdings 2" w:char="0052"/>
            </w:r>
            <w:r>
              <w:rPr>
                <w:rFonts w:hint="eastAsia"/>
              </w:rPr>
              <w:t xml:space="preserve">产品运输 </w:t>
            </w:r>
            <w:r>
              <w:rPr>
                <w:rFonts w:hint="eastAsia"/>
              </w:rPr>
              <w:sym w:font="Wingdings 2" w:char="0052"/>
            </w:r>
            <w:r>
              <w:rPr>
                <w:rFonts w:hint="eastAsia"/>
              </w:rPr>
              <w:t>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最高管理者制定了文件化的管理体系方针：</w:t>
            </w:r>
            <w:r>
              <w:rPr>
                <w:rFonts w:hint="eastAsia"/>
                <w:u w:val="single"/>
              </w:rPr>
              <w:t xml:space="preserve"> 科学领先，顾客满意，持续改进，行业领先，服务一流</w:t>
            </w:r>
            <w:r>
              <w:rPr>
                <w:rFonts w:hint="eastAsia"/>
                <w:u w:val="single"/>
                <w:lang w:eastAsia="zh-CN"/>
              </w:rPr>
              <w:t>；预防为主，遵规守法，确保环境安全；以人为本，持续改进，实现平安和谐。</w:t>
            </w:r>
            <w:r>
              <w:rPr>
                <w:rFonts w:hint="eastAsia"/>
                <w:u w:val="single"/>
              </w:rPr>
              <w:t xml:space="preserve"> </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国家政策改变、地理环境变化、外部环境变化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遵守相关法律法规、采取各种环保措施</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 xml:space="preserve">能源消耗  □资源消耗 □废水排放  □废气排放 □粉尘排放  </w:t>
            </w:r>
            <w:r>
              <w:rPr>
                <w:rFonts w:hint="eastAsia"/>
              </w:rPr>
              <w:sym w:font="Wingdings 2" w:char="00A3"/>
            </w:r>
            <w:r>
              <w:rPr>
                <w:rFonts w:hint="eastAsia"/>
              </w:rPr>
              <w:t xml:space="preserve">危废排放 </w:t>
            </w:r>
            <w:r>
              <w:rPr>
                <w:rFonts w:hint="eastAsia"/>
              </w:rPr>
              <w:sym w:font="Wingdings 2" w:char="0052"/>
            </w:r>
            <w:r>
              <w:rPr>
                <w:rFonts w:hint="eastAsia"/>
              </w:rPr>
              <w:t xml:space="preserve">噪声排放  □危化品泄露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w:t>
            </w:r>
            <w:r>
              <w:rPr>
                <w:rFonts w:hint="eastAsia"/>
              </w:rPr>
              <w:sym w:font="Wingdings 2" w:char="0052"/>
            </w:r>
            <w:r>
              <w:rPr>
                <w:rFonts w:hint="eastAsia"/>
              </w:rPr>
              <w:t xml:space="preserve">设备降噪  □危废合法处置 □使用节能设备  □危化品控制 </w:t>
            </w:r>
          </w:p>
          <w:p>
            <w:pPr>
              <w:shd w:val="clear" w:color="auto" w:fill="EBF1DE" w:themeFill="accent3" w:themeFillTint="32"/>
              <w:rPr>
                <w:highlight w:val="cyan"/>
              </w:rPr>
            </w:pPr>
            <w:r>
              <w:rPr>
                <w:rFonts w:hint="eastAsia"/>
              </w:rPr>
              <w:t xml:space="preserve">□压力容器检测  </w:t>
            </w:r>
            <w:r>
              <w:rPr>
                <w:rFonts w:hint="eastAsia"/>
              </w:rPr>
              <w:sym w:font="Wingdings 2" w:char="0052"/>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rPr>
                    <w:t>火灾发生率为0</w:t>
                  </w:r>
                </w:p>
              </w:tc>
              <w:tc>
                <w:tcPr>
                  <w:tcW w:w="3136" w:type="dxa"/>
                  <w:shd w:val="clear" w:color="auto" w:fill="auto"/>
                  <w:vAlign w:val="center"/>
                </w:tcPr>
                <w:p>
                  <w:pPr>
                    <w:shd w:val="clear" w:color="auto" w:fill="EBF1DE" w:themeFill="accent3" w:themeFillTint="32"/>
                    <w:rPr>
                      <w:rFonts w:hint="default" w:eastAsia="宋体"/>
                      <w:lang w:val="en-US" w:eastAsia="zh-CN"/>
                    </w:rPr>
                  </w:pPr>
                  <w:r>
                    <w:rPr>
                      <w:rFonts w:hint="eastAsia" w:ascii="Times New Roman" w:hAnsi="Times New Roman" w:eastAsia="宋体" w:cs="Times New Roman"/>
                      <w:bCs/>
                      <w:spacing w:val="10"/>
                      <w:kern w:val="2"/>
                      <w:sz w:val="21"/>
                      <w:szCs w:val="21"/>
                      <w:highlight w:val="none"/>
                      <w:lang w:val="en-US" w:eastAsia="zh-CN" w:bidi="ar-SA"/>
                    </w:rPr>
                    <w:t>管理方案和预案措施</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rPr>
                    <w:t>固废处置合规率100%</w:t>
                  </w: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Times New Roman" w:hAnsi="Times New Roman" w:eastAsia="宋体" w:cs="Times New Roman"/>
                      <w:bCs/>
                      <w:spacing w:val="10"/>
                      <w:kern w:val="2"/>
                      <w:sz w:val="21"/>
                      <w:szCs w:val="21"/>
                      <w:highlight w:val="none"/>
                      <w:lang w:val="en-US" w:eastAsia="zh-CN" w:bidi="ar-SA"/>
                    </w:rPr>
                    <w:t>管理方案和预案措施</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150</w:t>
            </w:r>
            <w:r>
              <w:rPr>
                <w:rFonts w:hint="eastAsia"/>
                <w:u w:val="single"/>
              </w:rPr>
              <w:t xml:space="preserve">  </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lang w:val="en-US" w:eastAsia="zh-CN"/>
              </w:rPr>
              <w:t>汽车、电脑和办公设备</w:t>
            </w:r>
            <w:r>
              <w:rPr>
                <w:rFonts w:hint="eastAsia"/>
                <w:u w:val="single"/>
              </w:rPr>
              <w:t xml:space="preserve">            （列举2~4种）</w:t>
            </w:r>
          </w:p>
          <w:p>
            <w:pPr>
              <w:shd w:val="clear" w:color="auto" w:fill="EBF1DE" w:themeFill="accent3" w:themeFillTint="32"/>
              <w:rPr>
                <w:u w:val="single"/>
              </w:rPr>
            </w:pPr>
            <w:r>
              <w:rPr>
                <w:rFonts w:hint="eastAsia"/>
              </w:rPr>
              <w:t>主要环保设备有：</w:t>
            </w:r>
            <w:r>
              <w:rPr>
                <w:rFonts w:hint="eastAsia"/>
                <w:u w:val="single"/>
              </w:rPr>
              <w:t xml:space="preserve">                                  （列举2~4种）</w:t>
            </w:r>
          </w:p>
          <w:p>
            <w:pPr>
              <w:shd w:val="clear" w:color="auto" w:fill="EBF1DE" w:themeFill="accent3" w:themeFillTint="32"/>
            </w:pPr>
            <w:r>
              <w:rPr>
                <w:rFonts w:hint="eastAsia"/>
              </w:rPr>
              <w:t>特种设备：</w:t>
            </w:r>
            <w:r>
              <w:rPr>
                <w:rFonts w:hint="eastAsia" w:ascii="Wingdings" w:hAnsi="Wingdings"/>
              </w:rPr>
              <w:t>¨</w:t>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rPr>
              <w:t>¨</w:t>
            </w:r>
            <w:r>
              <w:rPr>
                <w:rFonts w:hint="eastAsia"/>
              </w:rPr>
              <w:t xml:space="preserve">高压配电室 </w:t>
            </w:r>
            <w:r>
              <w:rPr>
                <w:rFonts w:hint="eastAsia" w:ascii="Wingdings" w:hAnsi="Wingdings"/>
              </w:rPr>
              <w:t>¨</w:t>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shd w:val="clear" w:color="auto" w:fill="EBF1DE" w:themeFill="accent3" w:themeFillTint="32"/>
              <w:ind w:firstLine="1050" w:firstLineChars="500"/>
            </w:pPr>
            <w:r>
              <w:rPr>
                <w:rFonts w:hint="eastAsia" w:ascii="Wingdings" w:hAnsi="Wingdings"/>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color w:val="000000"/>
                <w:highlight w:val="none"/>
                <w:u w:val="single"/>
                <w:lang w:val="en-US" w:eastAsia="zh-CN"/>
              </w:rPr>
              <w:t>GPS定位器</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vAlign w:val="top"/>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rFonts w:ascii="Times New Roman" w:hAnsi="Times New Roman" w:eastAsia="宋体" w:cs="Times New Roman"/>
                <w:kern w:val="2"/>
                <w:sz w:val="21"/>
                <w:szCs w:val="24"/>
                <w:highlight w:val="yellow"/>
                <w:lang w:val="en-US" w:eastAsia="zh-CN" w:bidi="ar-SA"/>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sym w:font="Wingdings 2" w:char="0052"/>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r>
                    <w:rPr>
                      <w:rFonts w:hint="eastAsia" w:ascii="宋体" w:hAnsi="宋体"/>
                      <w:szCs w:val="21"/>
                    </w:rPr>
                    <w:t>环境管理方案、运行控制程序</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ascii="宋体" w:hAnsi="宋体"/>
                      <w:szCs w:val="21"/>
                    </w:rPr>
                    <w:t>环境管理方案、运行控制程序</w:t>
                  </w:r>
                </w:p>
              </w:tc>
              <w:tc>
                <w:tcPr>
                  <w:tcW w:w="3265" w:type="dxa"/>
                  <w:vAlign w:val="center"/>
                </w:tcPr>
                <w:p>
                  <w:pPr>
                    <w:spacing w:line="360" w:lineRule="exact"/>
                    <w:ind w:firstLine="105" w:firstLineChars="50"/>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vAlign w:val="center"/>
                </w:tcPr>
                <w:p>
                  <w:pPr>
                    <w:spacing w:line="360" w:lineRule="exact"/>
                    <w:rPr>
                      <w:rFonts w:hint="eastAsia"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pacing w:line="360" w:lineRule="exact"/>
                    <w:rPr>
                      <w:rFonts w:hint="eastAsia" w:ascii="宋体" w:hAnsi="宋体"/>
                      <w:szCs w:val="21"/>
                    </w:rPr>
                  </w:pPr>
                  <w:r>
                    <w:rPr>
                      <w:rFonts w:hint="eastAsia" w:ascii="宋体" w:hAnsi="宋体"/>
                      <w:szCs w:val="21"/>
                    </w:rPr>
                    <w:t xml:space="preserve">制定环境管理方案、运行控制程序   </w:t>
                  </w:r>
                </w:p>
                <w:p>
                  <w:pPr>
                    <w:shd w:val="clear" w:color="auto" w:fill="EBF1DE" w:themeFill="accent3" w:themeFillTint="32"/>
                    <w:jc w:val="left"/>
                  </w:pPr>
                  <w:r>
                    <w:rPr>
                      <w:rFonts w:hint="eastAsia" w:ascii="宋体" w:hAnsi="宋体"/>
                      <w:szCs w:val="21"/>
                    </w:rPr>
                    <w:t>应急预案及 应急演练</w:t>
                  </w:r>
                </w:p>
              </w:tc>
              <w:tc>
                <w:tcPr>
                  <w:tcW w:w="3265" w:type="dxa"/>
                  <w:vAlign w:val="center"/>
                </w:tcPr>
                <w:p>
                  <w:pPr>
                    <w:spacing w:line="360" w:lineRule="exact"/>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环保设备故障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pP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18</w:t>
            </w:r>
            <w:r>
              <w:rPr>
                <w:rFonts w:hint="eastAsia"/>
              </w:rPr>
              <w:t>日进行了</w:t>
            </w:r>
            <w:r>
              <w:rPr>
                <w:rFonts w:hint="eastAsia"/>
                <w:u w:val="single"/>
              </w:rPr>
              <w:t xml:space="preserve">  </w:t>
            </w:r>
            <w:r>
              <w:rPr>
                <w:rFonts w:hint="eastAsia"/>
                <w:u w:val="single"/>
                <w:lang w:val="en-US" w:eastAsia="zh-CN"/>
              </w:rPr>
              <w:t>火灾应急</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vAlign w:val="top"/>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9</w:t>
            </w:r>
            <w:r>
              <w:rPr>
                <w:rFonts w:hint="eastAsia"/>
                <w:u w:val="single"/>
              </w:rPr>
              <w:t xml:space="preserve"> </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自我检查的结果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val="en-US" w:eastAsia="zh-CN"/>
              </w:rPr>
              <w:t>OHS</w:t>
            </w:r>
            <w:r>
              <w:rPr>
                <w:rFonts w:hint="eastAsia"/>
              </w:rPr>
              <w:t xml:space="preserve">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 xml:space="preserve">法律法规 □技术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□文化 </w:t>
                  </w:r>
                  <w:r>
                    <w:rPr>
                      <w:rFonts w:hint="eastAsia"/>
                    </w:rPr>
                    <w:sym w:font="Wingdings 2" w:char="0052"/>
                  </w:r>
                  <w:r>
                    <w:rPr>
                      <w:rFonts w:hint="eastAsia"/>
                    </w:rPr>
                    <w:t xml:space="preserve">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 xml:space="preserve">认知 </w:t>
                  </w:r>
                  <w:r>
                    <w:rPr>
                      <w:rFonts w:hint="eastAsia"/>
                    </w:rPr>
                    <w:sym w:font="Wingdings 2" w:char="0052"/>
                  </w:r>
                  <w:r>
                    <w:rPr>
                      <w:rFonts w:hint="eastAsia"/>
                    </w:rPr>
                    <w:t xml:space="preserve">价值观  </w:t>
                  </w:r>
                  <w:r>
                    <w:rPr>
                      <w:rFonts w:hint="eastAsia"/>
                    </w:rPr>
                    <w:sym w:font="Wingdings 2" w:char="0052"/>
                  </w:r>
                  <w:r>
                    <w:rPr>
                      <w:rFonts w:hint="eastAsia"/>
                    </w:rPr>
                    <w:t xml:space="preserve">文化  □知识 □绩效 □工艺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r>
                    <w:rPr>
                      <w:rFonts w:hint="eastAsia"/>
                    </w:rPr>
                    <w:sym w:font="Wingdings 2" w:char="0052"/>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 xml:space="preserve">安全作业控制  </w:t>
            </w:r>
            <w:r>
              <w:rPr>
                <w:rFonts w:hint="eastAsia"/>
              </w:rPr>
              <w:sym w:font="Wingdings 2" w:char="0052"/>
            </w:r>
            <w:r>
              <w:rPr>
                <w:rFonts w:hint="eastAsia"/>
              </w:rPr>
              <w:t xml:space="preserve">职业危害管理  </w:t>
            </w:r>
            <w:r>
              <w:rPr>
                <w:rFonts w:hint="eastAsia"/>
              </w:rPr>
              <w:sym w:font="Wingdings 2" w:char="0052"/>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□危险废物处置 □消防检测 □生产/服务过程 □安全监测 </w:t>
            </w:r>
            <w:r>
              <w:rPr>
                <w:rFonts w:hint="eastAsia"/>
              </w:rPr>
              <w:sym w:font="Wingdings 2" w:char="0052"/>
            </w:r>
            <w:r>
              <w:rPr>
                <w:rFonts w:hint="eastAsia"/>
              </w:rPr>
              <w:t xml:space="preserve">产品运输 </w:t>
            </w:r>
            <w:r>
              <w:rPr>
                <w:rFonts w:hint="eastAsia"/>
              </w:rPr>
              <w:sym w:font="Wingdings 2" w:char="0052"/>
            </w:r>
            <w:r>
              <w:rPr>
                <w:rFonts w:hint="eastAsia"/>
              </w:rPr>
              <w:t>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 xml:space="preserve">以身作则 </w:t>
            </w:r>
            <w:r>
              <w:rPr>
                <w:rFonts w:hint="eastAsia"/>
              </w:rPr>
              <w:sym w:font="Wingdings 2" w:char="0052"/>
            </w:r>
            <w:r>
              <w:rPr>
                <w:rFonts w:hint="eastAsia"/>
              </w:rPr>
              <w:t>建立机制 □法规宣传 □风险机遇的应对 □重视相关方反馈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最高管理者制定了文件化的职业健康安全管理体系方针：</w:t>
            </w:r>
            <w:r>
              <w:rPr>
                <w:rFonts w:hint="eastAsia"/>
                <w:u w:val="single"/>
              </w:rPr>
              <w:t xml:space="preserve"> 科学领先，顾客满意，持续改进，行业领先，服务一流</w:t>
            </w:r>
            <w:r>
              <w:rPr>
                <w:rFonts w:hint="eastAsia"/>
                <w:u w:val="single"/>
                <w:lang w:eastAsia="zh-CN"/>
              </w:rPr>
              <w:t>；预防为主，遵规守法，确保环境安全；以人为本，持续改进，实现平安和谐。</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行政部</w:t>
            </w:r>
          </w:p>
          <w:p>
            <w:pPr>
              <w:rPr>
                <w:rFonts w:hint="eastAsia" w:eastAsia="宋体"/>
                <w:lang w:val="en-US" w:eastAsia="zh-CN"/>
              </w:rPr>
            </w:pPr>
            <w:r>
              <w:rPr>
                <w:rFonts w:hint="eastAsia"/>
              </w:rPr>
              <w:t>安全的主管部门是——</w:t>
            </w:r>
            <w:r>
              <w:rPr>
                <w:rFonts w:hint="eastAsia"/>
                <w:lang w:val="en-US" w:eastAsia="zh-CN"/>
              </w:rPr>
              <w:t>行政部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员工代表是——李祥华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货运过程</w:t>
                  </w:r>
                </w:p>
              </w:tc>
              <w:tc>
                <w:tcPr>
                  <w:tcW w:w="3965" w:type="dxa"/>
                </w:tcPr>
                <w:p>
                  <w:pPr>
                    <w:rPr>
                      <w:rFonts w:hint="default" w:eastAsia="宋体"/>
                      <w:lang w:val="en-US" w:eastAsia="zh-CN"/>
                    </w:rPr>
                  </w:pPr>
                  <w:r>
                    <w:rPr>
                      <w:rFonts w:hint="eastAsia"/>
                      <w:lang w:val="en-US" w:eastAsia="zh-CN"/>
                    </w:rPr>
                    <w:t>准时法律法规，加强安全培训</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 xml:space="preserve">□机械伤害  □触电 □化学伤害  □噪声 □粉尘  □危险作业 □高低温  □危化品泄露 □压力容器爆炸  </w:t>
            </w:r>
            <w:r>
              <w:rPr>
                <w:rFonts w:hint="eastAsia"/>
              </w:rPr>
              <w:sym w:font="Wingdings 2" w:char="0052"/>
            </w:r>
            <w:r>
              <w:rPr>
                <w:rFonts w:hint="eastAsia"/>
              </w:rPr>
              <w:t xml:space="preserve">火灾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  □除尘设备 □漏电保护  □穿戴劳保用品 □作业票管理  □挂牌上锁管理</w:t>
            </w:r>
          </w:p>
          <w:p>
            <w:pPr>
              <w:rPr>
                <w:highlight w:val="cyan"/>
              </w:rPr>
            </w:pPr>
            <w:r>
              <w:rPr>
                <w:rFonts w:hint="eastAsia"/>
              </w:rPr>
              <w:t xml:space="preserve">□危化品控制 □压力容器检测  </w:t>
            </w:r>
            <w:r>
              <w:rPr>
                <w:rFonts w:hint="eastAsia"/>
              </w:rPr>
              <w:sym w:font="Wingdings 2" w:char="0052"/>
            </w:r>
            <w:r>
              <w:rPr>
                <w:rFonts w:hint="eastAsia"/>
              </w:rPr>
              <w:t xml:space="preserve">消防控制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rPr>
                    <w:t>火灾发生率为0</w:t>
                  </w:r>
                </w:p>
              </w:tc>
              <w:tc>
                <w:tcPr>
                  <w:tcW w:w="3136" w:type="dxa"/>
                  <w:shd w:val="clear" w:color="auto" w:fill="auto"/>
                  <w:vAlign w:val="center"/>
                </w:tcPr>
                <w:p>
                  <w:pPr>
                    <w:rPr>
                      <w:rFonts w:hint="default" w:eastAsia="宋体"/>
                      <w:lang w:val="en-US" w:eastAsia="zh-CN"/>
                    </w:rPr>
                  </w:pPr>
                  <w:r>
                    <w:rPr>
                      <w:rFonts w:hint="eastAsia" w:ascii="Times New Roman" w:hAnsi="Times New Roman" w:eastAsia="宋体" w:cs="Times New Roman"/>
                      <w:bCs/>
                      <w:spacing w:val="10"/>
                      <w:kern w:val="2"/>
                      <w:sz w:val="21"/>
                      <w:szCs w:val="21"/>
                      <w:highlight w:val="none"/>
                      <w:lang w:val="en-US" w:eastAsia="zh-CN" w:bidi="ar-SA"/>
                    </w:rPr>
                    <w:t>管理方案和预案措施</w:t>
                  </w:r>
                </w:p>
              </w:tc>
              <w:tc>
                <w:tcPr>
                  <w:tcW w:w="1350" w:type="dxa"/>
                  <w:shd w:val="clear" w:color="auto" w:fill="auto"/>
                  <w:vAlign w:val="center"/>
                </w:tcPr>
                <w:p>
                  <w:pPr>
                    <w:rPr>
                      <w:rFonts w:hint="eastAsia" w:eastAsia="宋体"/>
                      <w:lang w:val="en-US" w:eastAsia="zh-CN"/>
                    </w:rPr>
                  </w:pPr>
                  <w:r>
                    <w:rPr>
                      <w:rFonts w:hint="eastAsia"/>
                      <w:lang w:val="en-US" w:eastAsia="zh-CN"/>
                    </w:rPr>
                    <w:t>行政部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rPr>
                    <w:t>员工意外伤害为0</w:t>
                  </w:r>
                </w:p>
              </w:tc>
              <w:tc>
                <w:tcPr>
                  <w:tcW w:w="3136" w:type="dxa"/>
                  <w:shd w:val="clear" w:color="auto" w:fill="auto"/>
                  <w:vAlign w:val="center"/>
                </w:tcPr>
                <w:p>
                  <w:pPr>
                    <w:rPr>
                      <w:rFonts w:ascii="宋体" w:hAnsi="宋体"/>
                    </w:rPr>
                  </w:pPr>
                  <w:r>
                    <w:rPr>
                      <w:rFonts w:hint="eastAsia" w:ascii="Times New Roman" w:hAnsi="Times New Roman" w:eastAsia="宋体" w:cs="Times New Roman"/>
                      <w:bCs/>
                      <w:spacing w:val="10"/>
                      <w:kern w:val="2"/>
                      <w:sz w:val="21"/>
                      <w:szCs w:val="21"/>
                      <w:highlight w:val="none"/>
                      <w:lang w:val="en-US" w:eastAsia="zh-CN" w:bidi="ar-SA"/>
                    </w:rPr>
                    <w:t>管理方案和预案措施</w:t>
                  </w:r>
                </w:p>
              </w:tc>
              <w:tc>
                <w:tcPr>
                  <w:tcW w:w="1350" w:type="dxa"/>
                  <w:shd w:val="clear" w:color="auto" w:fill="auto"/>
                  <w:vAlign w:val="center"/>
                </w:tcPr>
                <w:p>
                  <w:pPr>
                    <w:rPr>
                      <w:rFonts w:hint="eastAsia" w:ascii="宋体" w:hAnsi="宋体" w:eastAsia="宋体"/>
                      <w:lang w:val="en-US" w:eastAsia="zh-CN"/>
                    </w:rPr>
                  </w:pPr>
                  <w:r>
                    <w:rPr>
                      <w:rFonts w:hint="eastAsia" w:ascii="宋体" w:hAnsi="宋体"/>
                      <w:lang w:val="en-US" w:eastAsia="zh-CN"/>
                    </w:rPr>
                    <w:t>行政部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vAlign w:val="top"/>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pPr>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pPr>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150</w:t>
            </w:r>
            <w:r>
              <w:rPr>
                <w:rFonts w:hint="eastAsia"/>
                <w:u w:val="single"/>
              </w:rPr>
              <w:t xml:space="preserve">  </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pPr>
              <w:rPr>
                <w:u w:val="single"/>
              </w:rPr>
            </w:pPr>
            <w:r>
              <w:rPr>
                <w:rFonts w:hint="eastAsia"/>
              </w:rPr>
              <w:t>主要生产设备有：</w:t>
            </w:r>
            <w:r>
              <w:rPr>
                <w:rFonts w:hint="eastAsia"/>
                <w:u w:val="single"/>
              </w:rPr>
              <w:t xml:space="preserve">   </w:t>
            </w:r>
            <w:r>
              <w:rPr>
                <w:rFonts w:hint="eastAsia"/>
                <w:u w:val="single"/>
                <w:lang w:val="en-US" w:eastAsia="zh-CN"/>
              </w:rPr>
              <w:t>汽车、电脑和办公设备</w:t>
            </w:r>
            <w:r>
              <w:rPr>
                <w:rFonts w:hint="eastAsia"/>
                <w:u w:val="single"/>
              </w:rPr>
              <w:t xml:space="preserve">                  （列举2~4种）</w:t>
            </w:r>
          </w:p>
          <w:p>
            <w:r>
              <w:rPr>
                <w:rFonts w:hint="eastAsia"/>
              </w:rPr>
              <w:t>主要安全装置有：</w:t>
            </w:r>
          </w:p>
          <w:p>
            <w:r>
              <w:rPr>
                <w:rFonts w:hint="eastAsia" w:ascii="Wingdings" w:hAnsi="Wingdings"/>
              </w:rPr>
              <w:t>¨</w:t>
            </w:r>
            <w:r>
              <w:rPr>
                <w:rFonts w:hint="eastAsia"/>
              </w:rPr>
              <w:t xml:space="preserve">急停按钮 </w:t>
            </w:r>
            <w:r>
              <w:rPr>
                <w:rFonts w:hint="eastAsia" w:ascii="Wingdings" w:hAnsi="Wingdings"/>
              </w:rPr>
              <w:t>¨</w:t>
            </w:r>
            <w:r>
              <w:rPr>
                <w:rFonts w:hint="eastAsia"/>
              </w:rPr>
              <w:t xml:space="preserve">光栅 </w:t>
            </w:r>
            <w:r>
              <w:rPr>
                <w:rFonts w:hint="eastAsia" w:ascii="Wingdings" w:hAnsi="Wingdings"/>
              </w:rPr>
              <w:t>¨</w:t>
            </w:r>
            <w:r>
              <w:rPr>
                <w:rFonts w:hint="eastAsia"/>
              </w:rPr>
              <w:t xml:space="preserve">联锁装置  </w:t>
            </w:r>
            <w:r>
              <w:rPr>
                <w:rFonts w:hint="eastAsia" w:ascii="Wingdings" w:hAnsi="Wingdings"/>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rPr>
              <w:t>¨</w:t>
            </w:r>
            <w:r>
              <w:rPr>
                <w:rFonts w:hint="eastAsia"/>
              </w:rPr>
              <w:t xml:space="preserve">不适用 </w:t>
            </w:r>
          </w:p>
          <w:p>
            <w:pPr>
              <w:rPr>
                <w:u w:val="single"/>
              </w:rPr>
            </w:pPr>
          </w:p>
          <w:p>
            <w:r>
              <w:rPr>
                <w:rFonts w:hint="eastAsia"/>
              </w:rPr>
              <w:t>特种设备：</w:t>
            </w:r>
            <w:r>
              <w:rPr>
                <w:rFonts w:hint="eastAsia" w:ascii="Wingdings" w:hAnsi="Wingdings"/>
              </w:rPr>
              <w:t>¨</w:t>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r>
              <w:rPr>
                <w:rFonts w:hint="eastAsia"/>
              </w:rPr>
              <w:t>辅助场所：</w:t>
            </w:r>
            <w:r>
              <w:rPr>
                <w:rFonts w:hint="eastAsia" w:ascii="Wingdings" w:hAnsi="Wingdings"/>
              </w:rPr>
              <w:t>¨</w:t>
            </w:r>
            <w:r>
              <w:rPr>
                <w:rFonts w:hint="eastAsia"/>
              </w:rPr>
              <w:t xml:space="preserve">高压配电室 </w:t>
            </w:r>
            <w:r>
              <w:rPr>
                <w:rFonts w:hint="eastAsia" w:ascii="Wingdings" w:hAnsi="Wingdings"/>
              </w:rPr>
              <w:t>¨</w:t>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ind w:firstLine="1050" w:firstLineChars="500"/>
            </w:pPr>
            <w:r>
              <w:rPr>
                <w:rFonts w:hint="eastAsia" w:ascii="Wingdings" w:hAnsi="Wingdings"/>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r>
              <w:rPr>
                <w:rFonts w:hint="eastAsia" w:ascii="Wingdings" w:hAnsi="Wingdings"/>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rPr>
              <w:t>¨</w:t>
            </w:r>
            <w:r>
              <w:rPr>
                <w:rFonts w:hint="eastAsia"/>
              </w:rPr>
              <w:t xml:space="preserve">外校 </w:t>
            </w:r>
          </w:p>
          <w:p>
            <w:r>
              <w:rPr>
                <w:rFonts w:hint="eastAsia"/>
              </w:rPr>
              <w:t>职业健康安全监测的计量器具有：</w:t>
            </w:r>
          </w:p>
          <w:p>
            <w:r>
              <w:rPr>
                <w:rFonts w:hint="eastAsia" w:ascii="Wingdings" w:hAnsi="Wingdings"/>
              </w:rPr>
              <w:t>¨</w:t>
            </w:r>
            <w:r>
              <w:rPr>
                <w:rFonts w:hint="eastAsia"/>
              </w:rPr>
              <w:t xml:space="preserve">压力表 </w:t>
            </w:r>
            <w:r>
              <w:rPr>
                <w:rFonts w:hint="eastAsia" w:ascii="Wingdings" w:hAnsi="Wingdings"/>
              </w:rPr>
              <w:t>¨</w:t>
            </w:r>
            <w:r>
              <w:rPr>
                <w:rFonts w:hint="eastAsia"/>
              </w:rPr>
              <w:t xml:space="preserve">可燃气体探测器 </w:t>
            </w:r>
            <w:r>
              <w:rPr>
                <w:rFonts w:hint="eastAsia" w:ascii="Wingdings" w:hAnsi="Wingdings"/>
              </w:rPr>
              <w:t>¨</w:t>
            </w:r>
            <w:r>
              <w:rPr>
                <w:rFonts w:hint="eastAsia"/>
              </w:rPr>
              <w:t xml:space="preserve">摇表 </w:t>
            </w:r>
            <w:r>
              <w:rPr>
                <w:rFonts w:hint="eastAsia" w:ascii="Wingdings" w:hAnsi="Wingdings"/>
              </w:rPr>
              <w:t>¨</w:t>
            </w:r>
            <w:r>
              <w:rPr>
                <w:rFonts w:hint="eastAsia"/>
              </w:rPr>
              <w:t xml:space="preserve">验电器 </w:t>
            </w:r>
            <w:r>
              <w:rPr>
                <w:rFonts w:hint="eastAsia" w:ascii="Wingdings" w:hAnsi="Wingdings"/>
              </w:rPr>
              <w:t>¨</w:t>
            </w:r>
            <w:r>
              <w:rPr>
                <w:rFonts w:hint="eastAsia"/>
              </w:rPr>
              <w:t xml:space="preserve">氧含量测定仪  </w:t>
            </w:r>
            <w:r>
              <w:rPr>
                <w:rFonts w:hint="eastAsia" w:ascii="Wingdings" w:hAnsi="Wingdings"/>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 xml:space="preserve">计量器具管理： </w:t>
            </w:r>
            <w:r>
              <w:rPr>
                <w:rFonts w:hint="eastAsia" w:ascii="Wingdings" w:hAnsi="Wingdings"/>
                <w:lang w:eastAsia="zh-CN"/>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pPr>
              <w:rPr>
                <w:rFonts w:ascii="Times New Roman" w:hAnsi="Times New Roman" w:eastAsia="宋体" w:cs="Times New Roman"/>
                <w:kern w:val="2"/>
                <w:sz w:val="21"/>
                <w:szCs w:val="24"/>
                <w:lang w:val="en-US" w:eastAsia="zh-CN" w:bidi="ar-SA"/>
              </w:rPr>
            </w:pPr>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pPr>
              <w:rPr>
                <w:rFonts w:ascii="Times New Roman" w:hAnsi="Times New Roman" w:eastAsia="宋体" w:cs="Times New Roman"/>
                <w:kern w:val="2"/>
                <w:sz w:val="21"/>
                <w:szCs w:val="24"/>
                <w:lang w:val="en-US" w:eastAsia="zh-CN" w:bidi="ar-SA"/>
              </w:rPr>
            </w:pPr>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 xml:space="preserve"> 用低危害材料、工艺、运行或设备替代；</w:t>
            </w:r>
          </w:p>
          <w:p>
            <w:r>
              <w:rPr>
                <w:rFonts w:hint="eastAsia"/>
              </w:rPr>
              <w:t xml:space="preserve"> </w:t>
            </w:r>
            <w:r>
              <w:rPr>
                <w:rFonts w:hint="eastAsia" w:ascii="Wingdings" w:hAnsi="Wingdings"/>
                <w:lang w:eastAsia="zh-CN"/>
              </w:rPr>
              <w:t>□</w:t>
            </w:r>
            <w:r>
              <w:rPr>
                <w:rFonts w:hint="eastAsia"/>
              </w:rPr>
              <w:t xml:space="preserve"> 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pPr>
              <w:rPr>
                <w:rFonts w:ascii="Times New Roman" w:hAnsi="Times New Roman" w:eastAsia="宋体" w:cs="Times New Roman"/>
                <w:kern w:val="2"/>
                <w:sz w:val="21"/>
                <w:szCs w:val="24"/>
                <w:lang w:val="en-US" w:eastAsia="zh-CN" w:bidi="ar-SA"/>
              </w:rPr>
            </w:pPr>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pPr>
              <w:rPr>
                <w:rFonts w:ascii="Times New Roman" w:hAnsi="Times New Roman" w:eastAsia="宋体" w:cs="Times New Roman"/>
                <w:kern w:val="2"/>
                <w:sz w:val="21"/>
                <w:szCs w:val="24"/>
                <w:lang w:val="en-US" w:eastAsia="zh-CN" w:bidi="ar-SA"/>
              </w:rPr>
            </w:pPr>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pPr>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rPr>
                <w:rFonts w:ascii="Times New Roman" w:hAnsi="Times New Roman" w:eastAsia="宋体" w:cs="Times New Roman"/>
                <w:kern w:val="2"/>
                <w:sz w:val="21"/>
                <w:szCs w:val="24"/>
                <w:lang w:val="en-US" w:eastAsia="zh-CN" w:bidi="ar-SA"/>
              </w:rPr>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 □挂牌上锁管理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 xml:space="preserve">漏电保护 </w:t>
                  </w:r>
                  <w:r>
                    <w:rPr>
                      <w:rFonts w:hint="eastAsia"/>
                      <w:lang w:eastAsia="zh-CN"/>
                    </w:rPr>
                    <w:t>☑</w:t>
                  </w:r>
                  <w:r>
                    <w:rPr>
                      <w:rFonts w:hint="eastAsia"/>
                    </w:rPr>
                    <w:t>绝缘用具检测</w:t>
                  </w:r>
                </w:p>
              </w:tc>
              <w:tc>
                <w:tcPr>
                  <w:tcW w:w="2205" w:type="dxa"/>
                </w:tcPr>
                <w:p>
                  <w:pPr>
                    <w:jc w:val="left"/>
                    <w:rPr>
                      <w:rFonts w:hint="eastAsia"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  □穿戴劳保用品（防尘面罩）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  □空间隔离  □防暑降温用品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火灾</w:t>
                  </w:r>
                </w:p>
              </w:tc>
              <w:tc>
                <w:tcPr>
                  <w:tcW w:w="4725" w:type="dxa"/>
                </w:tcPr>
                <w:p>
                  <w:pPr>
                    <w:jc w:val="left"/>
                    <w:rPr>
                      <w:rFonts w:hint="eastAsia" w:eastAsia="宋体"/>
                      <w:lang w:val="en-US" w:eastAsia="zh-CN"/>
                    </w:rPr>
                  </w:pPr>
                  <w:r>
                    <w:rPr>
                      <w:rFonts w:hint="eastAsia"/>
                      <w:lang w:val="en-US" w:eastAsia="zh-CN"/>
                    </w:rPr>
                    <w:t>应急演练</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 xml:space="preserve">进行了定期检查  </w:t>
            </w:r>
            <w:r>
              <w:rPr>
                <w:rFonts w:hint="eastAsia" w:ascii="Wingdings" w:hAnsi="Wingdings"/>
                <w:lang w:eastAsia="zh-CN"/>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rPr>
                <w:rFonts w:ascii="Times New Roman" w:hAnsi="Times New Roman" w:eastAsia="宋体" w:cs="Times New Roman"/>
                <w:kern w:val="2"/>
                <w:sz w:val="21"/>
                <w:szCs w:val="24"/>
                <w:lang w:val="en-US" w:eastAsia="zh-CN" w:bidi="ar-SA"/>
              </w:rPr>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rPr>
                <w:rFonts w:ascii="Times New Roman" w:hAnsi="Times New Roman" w:eastAsia="宋体" w:cs="Times New Roman"/>
                <w:kern w:val="2"/>
                <w:sz w:val="21"/>
                <w:szCs w:val="24"/>
                <w:lang w:val="en-US" w:eastAsia="zh-CN" w:bidi="ar-SA"/>
              </w:rPr>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 xml:space="preserve">组织应在生产和服务提供期间对危化品的采购、运输、使用、储存的危险源进行控制，以确保符合MSDS和法规要求。 </w:t>
            </w:r>
          </w:p>
          <w:p>
            <w:pPr>
              <w:jc w:val="left"/>
              <w:rPr>
                <w:rFonts w:ascii="Times New Roman" w:hAnsi="Times New Roman" w:eastAsia="宋体" w:cs="Times New Roman"/>
                <w:kern w:val="2"/>
                <w:sz w:val="21"/>
                <w:szCs w:val="24"/>
                <w:lang w:val="en-US" w:eastAsia="zh-CN" w:bidi="ar-SA"/>
              </w:rPr>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r>
              <w:rPr>
                <w:rFonts w:hint="eastAsia"/>
              </w:rPr>
              <w:t xml:space="preserve"> </w:t>
            </w:r>
          </w:p>
          <w:p>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18</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pPr>
              <w:rPr>
                <w:rFonts w:ascii="Times New Roman" w:hAnsi="Times New Roman" w:eastAsia="宋体" w:cs="Times New Roman"/>
                <w:kern w:val="2"/>
                <w:sz w:val="21"/>
                <w:szCs w:val="24"/>
                <w:lang w:val="en-US" w:eastAsia="zh-CN" w:bidi="ar-SA"/>
              </w:rPr>
            </w:pPr>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9</w:t>
            </w:r>
            <w:r>
              <w:rPr>
                <w:rFonts w:hint="eastAsia"/>
                <w:u w:val="single"/>
              </w:rPr>
              <w:t xml:space="preserve"> </w:t>
            </w:r>
            <w:r>
              <w:rPr>
                <w:rFonts w:hint="eastAsia"/>
              </w:rPr>
              <w:t>日</w:t>
            </w:r>
          </w:p>
          <w:p>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离职 </w:t>
            </w:r>
            <w:r>
              <w:rPr>
                <w:rFonts w:hint="eastAsia" w:ascii="Wingdings" w:hAnsi="Wingdings"/>
                <w:lang w:eastAsia="zh-CN"/>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pPr>
              <w:rPr>
                <w:rFonts w:ascii="Times New Roman" w:hAnsi="Times New Roman" w:eastAsia="宋体" w:cs="Times New Roman"/>
                <w:kern w:val="2"/>
                <w:sz w:val="21"/>
                <w:szCs w:val="24"/>
                <w:lang w:val="en-US" w:eastAsia="zh-CN" w:bidi="ar-SA"/>
              </w:rPr>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pPr>
              <w:rPr>
                <w:rFonts w:ascii="Times New Roman" w:hAnsi="Times New Roman" w:eastAsia="宋体" w:cs="Times New Roman"/>
                <w:kern w:val="2"/>
                <w:sz w:val="21"/>
                <w:szCs w:val="24"/>
                <w:lang w:val="en-US" w:eastAsia="zh-CN" w:bidi="ar-SA"/>
              </w:rPr>
            </w:pPr>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 xml:space="preserve">10 </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p>
            <w:pPr>
              <w:rPr>
                <w:rFonts w:ascii="Times New Roman" w:hAnsi="Times New Roman" w:eastAsia="宋体" w:cs="Times New Roman"/>
                <w:kern w:val="2"/>
                <w:sz w:val="21"/>
                <w:szCs w:val="24"/>
                <w:lang w:val="en-US" w:eastAsia="zh-CN" w:bidi="ar-SA"/>
              </w:rPr>
            </w:pPr>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vAlign w:val="top"/>
          </w:tcPr>
          <w:p>
            <w:r>
              <w:rPr>
                <w:rFonts w:hint="eastAsia"/>
              </w:rPr>
              <w:t>组织已确定和选择改进机会，并采取必要措施改进职业健康安全管理体系，实现其职业健康安全管理体系的预期结果。</w:t>
            </w:r>
          </w:p>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pPr>
              <w:rPr>
                <w:rFonts w:ascii="Times New Roman" w:hAnsi="Times New Roman" w:eastAsia="宋体" w:cs="Times New Roman"/>
                <w:kern w:val="2"/>
                <w:sz w:val="21"/>
                <w:szCs w:val="24"/>
                <w:lang w:val="en-US" w:eastAsia="zh-CN" w:bidi="ar-SA"/>
              </w:rPr>
            </w:pPr>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组织持续改进了职业健康安全管理体系的适宜性、充分性和有效性，保留了作为持续改进证据的文件化信息 。</w:t>
            </w:r>
          </w:p>
          <w:p>
            <w:pPr>
              <w:rPr>
                <w:rFonts w:ascii="Times New Roman" w:hAnsi="Times New Roman" w:eastAsia="宋体" w:cs="Times New Roman"/>
                <w:kern w:val="2"/>
                <w:sz w:val="21"/>
                <w:szCs w:val="24"/>
                <w:lang w:val="en-US" w:eastAsia="zh-CN" w:bidi="ar-SA"/>
              </w:rPr>
            </w:pPr>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2</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2</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2</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2</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3</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yellow"/>
                <w:lang w:eastAsia="ja-JP"/>
              </w:rPr>
            </w:pPr>
          </w:p>
        </w:tc>
        <w:tc>
          <w:tcPr>
            <w:tcW w:w="769" w:type="dxa"/>
            <w:tcBorders>
              <w:bottom w:val="single" w:color="auto" w:sz="4" w:space="0"/>
            </w:tcBorders>
            <w:shd w:val="clear" w:color="auto" w:fill="F2DCDC" w:themeFill="accent2" w:themeFillTint="32"/>
            <w:vAlign w:val="center"/>
          </w:tcPr>
          <w:p>
            <w:pPr>
              <w:rPr>
                <w:highlight w:val="yellow"/>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yellow"/>
                <w:lang w:eastAsia="ja-JP"/>
              </w:rPr>
            </w:pPr>
          </w:p>
        </w:tc>
        <w:tc>
          <w:tcPr>
            <w:tcW w:w="769" w:type="dxa"/>
            <w:shd w:val="clear" w:color="auto" w:fill="F2DCDC" w:themeFill="accent2" w:themeFillTint="32"/>
            <w:vAlign w:val="center"/>
          </w:tcPr>
          <w:p>
            <w:pPr>
              <w:rPr>
                <w:highlight w:val="yellow"/>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bookmarkStart w:id="34" w:name="_GoBack"/>
            <w:bookmarkEnd w:id="34"/>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1353B7A"/>
    <w:rsid w:val="14CB7BD7"/>
    <w:rsid w:val="371B19C3"/>
    <w:rsid w:val="5191628E"/>
    <w:rsid w:val="5FE277E2"/>
    <w:rsid w:val="727460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字符"/>
    <w:basedOn w:val="10"/>
    <w:link w:val="5"/>
    <w:qFormat/>
    <w:uiPriority w:val="99"/>
    <w:rPr>
      <w:rFonts w:ascii="Times New Roman" w:hAnsi="Times New Roman" w:eastAsia="宋体" w:cs="Times New Roman"/>
      <w:sz w:val="18"/>
      <w:szCs w:val="18"/>
    </w:rPr>
  </w:style>
  <w:style w:type="character" w:customStyle="1" w:styleId="15">
    <w:name w:val="页脚 字符"/>
    <w:basedOn w:val="10"/>
    <w:link w:val="4"/>
    <w:qFormat/>
    <w:uiPriority w:val="99"/>
    <w:rPr>
      <w:rFonts w:ascii="Times New Roman" w:hAnsi="Times New Roman" w:eastAsia="宋体" w:cs="Times New Roman"/>
      <w:sz w:val="18"/>
      <w:szCs w:val="18"/>
    </w:rPr>
  </w:style>
  <w:style w:type="character" w:customStyle="1" w:styleId="16">
    <w:name w:val="批注框文本 字符"/>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5">
    <w:name w:val="Table Paragraph"/>
    <w:basedOn w:val="1"/>
    <w:qFormat/>
    <w:uiPriority w:val="99"/>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4</TotalTime>
  <ScaleCrop>false</ScaleCrop>
  <LinksUpToDate>false</LinksUpToDate>
  <CharactersWithSpaces>25256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2021-09-09T07:47:42Z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