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230"/>
        <w:gridCol w:w="708"/>
        <w:gridCol w:w="762"/>
        <w:gridCol w:w="256"/>
        <w:gridCol w:w="689"/>
        <w:gridCol w:w="285"/>
        <w:gridCol w:w="204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重庆伯仲物流有限公司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重庆市沙坪坝区西部现代物流园垄安大道传化公路物流港零担仓库L409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重庆市沙坪坝区垄安大道120号维龙沙坪坝物流园A2号仓库/办公楼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刘安辉</w:t>
            </w:r>
            <w:bookmarkEnd w:id="4"/>
          </w:p>
        </w:tc>
        <w:tc>
          <w:tcPr>
            <w:tcW w:w="13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13368090878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sz w:val="21"/>
                <w:szCs w:val="21"/>
              </w:rPr>
              <w:t>刘安辉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26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0468-2020-QEO-2021</w:t>
            </w:r>
            <w:bookmarkEnd w:id="9"/>
          </w:p>
        </w:tc>
        <w:tc>
          <w:tcPr>
            <w:tcW w:w="131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149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5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Q：许可范围内的普通货运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E：许可范围内的普通货运所涉及的相关环境管理活动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O：许可范围内的普通货运所涉及的相关职业健康安全管理活动</w:t>
            </w:r>
            <w:bookmarkEnd w:id="22"/>
          </w:p>
        </w:tc>
        <w:tc>
          <w:tcPr>
            <w:tcW w:w="68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Q：31.04.01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E：31.04.01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O：31.04.01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2021年09月09日 上午至2021年09月09日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2021-N0OHSMS-1267598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2021-N0OHSMS-1262293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7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4"/>
            <w:vAlign w:val="center"/>
          </w:tcPr>
          <w:p/>
        </w:tc>
        <w:tc>
          <w:tcPr>
            <w:tcW w:w="124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434" w:type="dxa"/>
            <w:gridSpan w:val="4"/>
            <w:vAlign w:val="center"/>
          </w:tcPr>
          <w:p/>
        </w:tc>
        <w:tc>
          <w:tcPr>
            <w:tcW w:w="124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9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2021.9.8</w:t>
            </w:r>
          </w:p>
        </w:tc>
        <w:tc>
          <w:tcPr>
            <w:tcW w:w="21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冉景洲、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QMS-2015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总则；7.1.2人员；7.1.6组织知识；9.1.1监测、分析和评价总则；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9.1.3分析和评价；</w:t>
            </w:r>
            <w:r>
              <w:rPr>
                <w:rFonts w:hint="eastAsia"/>
                <w:sz w:val="18"/>
                <w:szCs w:val="18"/>
              </w:rPr>
              <w:t>9.3管理评审；10.1改进 总则；10.3持续改进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EMS-2015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ISO45001：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杨珍全、冉景洲（实习）、余家龙（实习）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组织及其环境;4.2相关方需求与期望;4.3确定体系范围;4.4体系;5.1领导作用与承诺;5.2方针;5.3组织的角色、职责和权限；5.4工作人员的协商和参与；6.1应对风险和机遇的措施6.1.4措施的策划；</w:t>
            </w:r>
            <w:r>
              <w:rPr>
                <w:rFonts w:hint="eastAsia"/>
                <w:sz w:val="18"/>
                <w:szCs w:val="18"/>
              </w:rPr>
              <w:t>6.2目标及其实现的策划；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7.1资源；</w:t>
            </w:r>
            <w:bookmarkStart w:id="33" w:name="_GoBack"/>
            <w:bookmarkEnd w:id="33"/>
            <w:r>
              <w:rPr>
                <w:rFonts w:hint="eastAsia"/>
                <w:sz w:val="18"/>
                <w:szCs w:val="18"/>
                <w:lang w:val="en-US" w:eastAsia="zh-CN"/>
              </w:rPr>
              <w:t>9.1监视、测量、分析和评价；9.3管理评审；10.1事件、不符合和纠正措施；10.2持续改进。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范围的确认，资质的确认，法律法规执行情况，投诉或事故/政府主管部门监督抽查情况，上次不符合的验证。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冉景洲、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8.2产品和服务的要求；8.4外部提供供方的控制；9.1.2顾客满意；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；6.1.3合规义务；8.1运行策划和控制；8.2应急准备和响应；9.1监视、测量、分析与评估；9.1.2符合性评估；9.2内部审核；10.2不符合和纠正措施/EMS运行控制相关财务支出证据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杨珍全、余家龙（实习）、冉景洲（实习）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10.1事件、不符合和纠正措施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午饭、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货运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7.1.3基础设施；7.1.4过程运行环境；7.1.5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；8.5.2标识和可追溯性；8.5.4防护；8.5.5交付后的活动；8.5.6更改控制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18：杨珍全、余家龙（实习）、冉景洲（实习）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冉景洲、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冉景洲、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-17：30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冉景洲、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8F7458"/>
    <w:rsid w:val="1A030698"/>
    <w:rsid w:val="337D4119"/>
    <w:rsid w:val="339F730A"/>
    <w:rsid w:val="33DA2931"/>
    <w:rsid w:val="4A597F82"/>
    <w:rsid w:val="634443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35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2021-09-09T03:54:38Z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