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hint="eastAsia"/>
          <w:b/>
          <w:sz w:val="22"/>
          <w:szCs w:val="22"/>
        </w:rPr>
      </w:pPr>
      <w:bookmarkStart w:id="0" w:name="Q勾选"/>
      <w:r>
        <w:rPr>
          <w:rFonts w:hint="eastAsia"/>
          <w:b/>
          <w:sz w:val="22"/>
          <w:szCs w:val="22"/>
          <w:lang w:eastAsia="zh-CN"/>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r>
        <w:rPr>
          <w:rFonts w:hint="eastAsia"/>
          <w:b/>
          <w:sz w:val="22"/>
          <w:szCs w:val="22"/>
          <w:lang w:val="en-US" w:eastAsia="zh-CN"/>
        </w:rPr>
        <w:t>En</w:t>
      </w:r>
      <w:r>
        <w:rPr>
          <w:rFonts w:hint="eastAsia"/>
          <w:b/>
          <w:sz w:val="22"/>
          <w:szCs w:val="22"/>
        </w:rPr>
        <w:t>MS</w:t>
      </w:r>
      <w:r>
        <w:rPr>
          <w:rFonts w:hint="eastAsia"/>
          <w:b/>
          <w:sz w:val="22"/>
          <w:szCs w:val="22"/>
          <w:lang w:val="en-US" w:eastAsia="zh-CN"/>
        </w:rPr>
        <w:t xml:space="preserve"> </w:t>
      </w:r>
      <w:bookmarkStart w:id="5" w:name="F勾选"/>
      <w:r>
        <w:rPr>
          <w:rFonts w:hint="eastAsia"/>
          <w:b/>
          <w:sz w:val="22"/>
          <w:szCs w:val="22"/>
          <w:lang w:eastAsia="zh-CN"/>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rPr>
          <w:rFonts w:hint="eastAsia"/>
          <w:b/>
          <w:sz w:val="22"/>
          <w:szCs w:val="22"/>
        </w:rPr>
      </w:pP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5"/>
        <w:gridCol w:w="1285"/>
        <w:gridCol w:w="1505"/>
        <w:gridCol w:w="195"/>
        <w:gridCol w:w="1525"/>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5"/>
            <w:tcBorders>
              <w:top w:val="single" w:color="auto" w:sz="8" w:space="0"/>
            </w:tcBorders>
            <w:vAlign w:val="center"/>
          </w:tcPr>
          <w:p>
            <w:pPr>
              <w:snapToGrid w:val="0"/>
              <w:spacing w:line="280" w:lineRule="exact"/>
              <w:jc w:val="center"/>
              <w:rPr>
                <w:b/>
                <w:sz w:val="20"/>
              </w:rPr>
            </w:pPr>
            <w:bookmarkStart w:id="7" w:name="组织名称"/>
            <w:r>
              <w:rPr>
                <w:b/>
                <w:sz w:val="20"/>
              </w:rPr>
              <w:t>北京华星隆盛劳务服务有限公司</w:t>
            </w:r>
            <w:bookmarkEnd w:id="7"/>
          </w:p>
        </w:tc>
        <w:tc>
          <w:tcPr>
            <w:tcW w:w="1720"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8" w:name="专业代码"/>
            <w:r>
              <w:rPr>
                <w:b/>
                <w:sz w:val="20"/>
              </w:rPr>
              <w:t>Q：35.10.00</w:t>
            </w:r>
          </w:p>
          <w:p>
            <w:pPr>
              <w:snapToGrid w:val="0"/>
              <w:spacing w:line="280" w:lineRule="exact"/>
              <w:ind w:left="52"/>
              <w:jc w:val="center"/>
              <w:rPr>
                <w:b/>
                <w:sz w:val="20"/>
              </w:rPr>
            </w:pPr>
            <w:r>
              <w:rPr>
                <w:b/>
                <w:sz w:val="20"/>
              </w:rPr>
              <w:t>E：35.10.00</w:t>
            </w:r>
          </w:p>
          <w:p>
            <w:pPr>
              <w:snapToGrid w:val="0"/>
              <w:spacing w:line="280" w:lineRule="exact"/>
              <w:ind w:left="52"/>
              <w:jc w:val="center"/>
              <w:rPr>
                <w:b/>
                <w:sz w:val="20"/>
              </w:rPr>
            </w:pPr>
            <w:r>
              <w:rPr>
                <w:b/>
                <w:sz w:val="20"/>
              </w:rPr>
              <w:t>O：35.10.00</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gridSpan w:val="2"/>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Q：35.10.00</w:t>
            </w:r>
          </w:p>
          <w:p>
            <w:pPr>
              <w:snapToGrid w:val="0"/>
              <w:spacing w:line="280" w:lineRule="exact"/>
              <w:ind w:left="52"/>
              <w:jc w:val="center"/>
              <w:rPr>
                <w:b/>
                <w:sz w:val="20"/>
              </w:rPr>
            </w:pPr>
            <w:r>
              <w:rPr>
                <w:b/>
                <w:sz w:val="20"/>
              </w:rPr>
              <w:t>E：35.10.00</w:t>
            </w:r>
          </w:p>
          <w:p>
            <w:pPr>
              <w:snapToGrid w:val="0"/>
              <w:spacing w:line="280" w:lineRule="exact"/>
              <w:jc w:val="center"/>
              <w:rPr>
                <w:b/>
                <w:sz w:val="20"/>
              </w:rPr>
            </w:pPr>
            <w:r>
              <w:rPr>
                <w:b/>
                <w:sz w:val="20"/>
              </w:rPr>
              <w:t>O：35.10.00</w:t>
            </w:r>
          </w:p>
        </w:tc>
        <w:tc>
          <w:tcPr>
            <w:tcW w:w="1720" w:type="dxa"/>
            <w:gridSpan w:val="2"/>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李雅静</w:t>
            </w:r>
          </w:p>
        </w:tc>
        <w:tc>
          <w:tcPr>
            <w:tcW w:w="1505" w:type="dxa"/>
            <w:vAlign w:val="center"/>
          </w:tcPr>
          <w:p>
            <w:pPr>
              <w:snapToGrid w:val="0"/>
              <w:spacing w:line="36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朱晓丽</w:t>
            </w:r>
          </w:p>
        </w:tc>
        <w:tc>
          <w:tcPr>
            <w:tcW w:w="1290" w:type="dxa"/>
            <w:gridSpan w:val="2"/>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gridSpan w:val="2"/>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劳务</w:t>
            </w:r>
            <w:r>
              <w:rPr>
                <w:rFonts w:hint="eastAsia" w:ascii="Times New Roman" w:hAnsi="Times New Roman" w:eastAsia="宋体" w:cs="Times New Roman"/>
                <w:sz w:val="21"/>
                <w:szCs w:val="24"/>
                <w:lang w:val="en-US" w:eastAsia="zh-CN"/>
              </w:rPr>
              <w:t>派遣</w:t>
            </w:r>
            <w:r>
              <w:rPr>
                <w:rFonts w:hint="eastAsia" w:ascii="Times New Roman" w:hAnsi="Times New Roman" w:eastAsia="宋体" w:cs="Times New Roman"/>
                <w:sz w:val="21"/>
                <w:szCs w:val="24"/>
              </w:rPr>
              <w:t>服务流程：</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服务需求-洽谈-签订劳务派遣协议-人员派遣-人员劳务  -服务跟踪</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其中关键过程有     </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 xml:space="preserve">过程     </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需要确认过程  </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过程</w:t>
            </w:r>
          </w:p>
          <w:p>
            <w:pPr>
              <w:snapToGrid w:val="0"/>
              <w:spacing w:line="280" w:lineRule="exact"/>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8"/>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ascii="Times New Roman" w:hAnsi="Times New Roman" w:eastAsia="宋体" w:cs="Times New Roman"/>
                <w:sz w:val="21"/>
                <w:szCs w:val="24"/>
              </w:rPr>
              <w:t>设备工具的认可、人员资格的鉴定、记录要求等</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lang w:val="en-US" w:eastAsia="zh-CN"/>
              </w:rPr>
              <w:t>人员的培训，</w:t>
            </w:r>
            <w:r>
              <w:rPr>
                <w:rFonts w:hint="eastAsia" w:ascii="Times New Roman" w:hAnsi="Times New Roman" w:eastAsia="宋体" w:cs="Times New Roman"/>
                <w:sz w:val="21"/>
                <w:szCs w:val="24"/>
              </w:rPr>
              <w:t>从业人员经过培训，胜任本职工作，可以提供满足顾客要求、法律法规要求的服务。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8"/>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编制了《环境因素的识别与评价控制程序》符合标准要求.</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提供的“环境因素识别评价表”“重要环境因素清单”， 评价考虑了三种时态现在、过去、将来、三种状态、异常、正常、紧急考虑了法律法规，并进行了评价，针</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过程，用打分法考虑了法规符合性、发生频次、影响范围等, 通过定性判断法，共识别出重大环境因素3项：固废排放、废气、噪声评价符合程序要求及公司的实际情况。</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szCs w:val="24"/>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8"/>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提供的：“危险源识别与风险评价表”“不可接受风险源清单”， 评价考虑了将来、状态、可能导致的事件，并进行了评价，用打分法考虑了法规符合性、发生频次、影响范围等, 通过是非法，共识别出不可接受风险2项，涉及：火灾、意外伤害评价符合程序要求及公司的实际情况。对危险源的控制措施包括制定管理制度、监督检查、应急预案、培训等。</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szCs w:val="24"/>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8"/>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GB/T 23859-2009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劳动定额测时方法</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32624-2016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人力资源培训服务规范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32625-2016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人力资源管理咨询服务规范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33529-2017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人力资源服务术语</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33530-2017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人力资源外包服务规范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snapToGrid w:val="0"/>
              <w:spacing w:line="280" w:lineRule="exact"/>
              <w:jc w:val="center"/>
              <w:rPr>
                <w:b/>
                <w:sz w:val="20"/>
              </w:rPr>
            </w:pPr>
            <w:r>
              <w:rPr>
                <w:rFonts w:hint="eastAsia" w:ascii="Times New Roman" w:hAnsi="Times New Roman" w:eastAsia="宋体" w:cs="Times New Roman"/>
                <w:sz w:val="21"/>
                <w:szCs w:val="24"/>
              </w:rPr>
              <w:t xml:space="preserve"> GB/T 33860-2017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人力资源服务机构能力指数</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8"/>
            <w:vAlign w:val="center"/>
          </w:tcPr>
          <w:p>
            <w:pPr>
              <w:snapToGrid w:val="0"/>
              <w:spacing w:line="280" w:lineRule="exact"/>
              <w:jc w:val="center"/>
              <w:rPr>
                <w:rFonts w:hint="default" w:eastAsia="宋体"/>
                <w:b/>
                <w:sz w:val="20"/>
                <w:lang w:val="en-US" w:eastAsia="zh-CN"/>
              </w:rPr>
            </w:pPr>
            <w:r>
              <w:rPr>
                <w:rFonts w:hint="eastAsia"/>
                <w:b/>
                <w:sz w:val="20"/>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hint="eastAsia" w:ascii="宋体"/>
                <w:b/>
                <w:sz w:val="22"/>
                <w:szCs w:val="22"/>
              </w:rPr>
            </w:pPr>
            <w:r>
              <w:rPr>
                <w:rFonts w:hint="eastAsia" w:ascii="宋体"/>
                <w:b/>
                <w:sz w:val="22"/>
                <w:szCs w:val="22"/>
              </w:rPr>
              <w:t>填表人</w:t>
            </w:r>
          </w:p>
          <w:p>
            <w:pPr>
              <w:snapToGrid w:val="0"/>
              <w:spacing w:line="280" w:lineRule="exact"/>
              <w:jc w:val="center"/>
              <w:rPr>
                <w:rFonts w:hint="eastAsia"/>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5" w:type="dxa"/>
            <w:gridSpan w:val="3"/>
            <w:vAlign w:val="center"/>
          </w:tcPr>
          <w:p>
            <w:pPr>
              <w:snapToGrid w:val="0"/>
              <w:spacing w:line="280" w:lineRule="exact"/>
              <w:jc w:val="center"/>
              <w:rPr>
                <w:b/>
                <w:sz w:val="20"/>
              </w:rPr>
            </w:pPr>
          </w:p>
        </w:tc>
        <w:tc>
          <w:tcPr>
            <w:tcW w:w="2985" w:type="dxa"/>
            <w:gridSpan w:val="3"/>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2904"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rFonts w:hint="eastAsia"/>
                <w:b/>
                <w:sz w:val="20"/>
              </w:rPr>
            </w:pPr>
            <w:r>
              <w:rPr>
                <w:rFonts w:hint="eastAsia" w:ascii="宋体"/>
                <w:b/>
                <w:sz w:val="22"/>
                <w:szCs w:val="22"/>
              </w:rPr>
              <w:t>审核组长</w:t>
            </w:r>
          </w:p>
        </w:tc>
        <w:tc>
          <w:tcPr>
            <w:tcW w:w="2535" w:type="dxa"/>
            <w:gridSpan w:val="3"/>
            <w:tcBorders>
              <w:bottom w:val="single" w:color="auto" w:sz="8" w:space="0"/>
            </w:tcBorders>
            <w:vAlign w:val="center"/>
          </w:tcPr>
          <w:p>
            <w:pPr>
              <w:snapToGrid w:val="0"/>
              <w:spacing w:line="280" w:lineRule="exact"/>
              <w:jc w:val="center"/>
              <w:rPr>
                <w:b/>
                <w:sz w:val="20"/>
              </w:rPr>
            </w:pPr>
          </w:p>
        </w:tc>
        <w:tc>
          <w:tcPr>
            <w:tcW w:w="2985"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2904" w:type="dxa"/>
            <w:gridSpan w:val="2"/>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2021.10.11</w:t>
            </w:r>
            <w:bookmarkStart w:id="9" w:name="_GoBack"/>
            <w:bookmarkEnd w:id="9"/>
          </w:p>
        </w:tc>
      </w:tr>
    </w:tbl>
    <w:p>
      <w:pPr>
        <w:snapToGrid w:val="0"/>
        <w:rPr>
          <w:rFonts w:ascii="宋体"/>
          <w:b/>
          <w:sz w:val="22"/>
          <w:szCs w:val="22"/>
        </w:rPr>
      </w:pPr>
    </w:p>
    <w:p>
      <w:pPr>
        <w:snapToGrid w:val="0"/>
        <w:rPr>
          <w:rFonts w:hint="default" w:ascii="宋体" w:eastAsia="宋体"/>
          <w:b/>
          <w:spacing w:val="-6"/>
          <w:sz w:val="21"/>
          <w:szCs w:val="21"/>
          <w:lang w:val="en-US" w:eastAsia="zh-CN"/>
        </w:rPr>
      </w:pPr>
      <w:r>
        <w:rPr>
          <w:rFonts w:hint="eastAsia" w:ascii="宋体" w:hAnsi="Times New Roman" w:eastAsia="宋体" w:cs="Times New Roman"/>
          <w:b/>
          <w:spacing w:val="-6"/>
          <w:sz w:val="21"/>
          <w:szCs w:val="21"/>
        </w:rPr>
        <w:t>注：</w:t>
      </w:r>
      <w:r>
        <w:rPr>
          <w:rFonts w:hint="eastAsia" w:ascii="宋体"/>
          <w:b/>
          <w:spacing w:val="-6"/>
          <w:sz w:val="21"/>
          <w:szCs w:val="21"/>
        </w:rPr>
        <w:t>如有其他培训内容或空格不够可另加附页</w:t>
      </w:r>
    </w:p>
    <w:sectPr>
      <w:headerReference r:id="rId5" w:type="default"/>
      <w:pgSz w:w="11906" w:h="16838"/>
      <w:pgMar w:top="1134" w:right="1077" w:bottom="1134" w:left="1077" w:header="561" w:footer="482"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79.65pt;margin-top:2.8pt;height:20.2pt;width:111.8pt;z-index:251659264;mso-width-relative:page;mso-height-relative:page;" fillcolor="#FFFFFF" filled="t" stroked="f" coordsize="21600,21600">
          <v:path/>
          <v:fill on="t" color2="#FFFFFF"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05</w:t>
                </w:r>
                <w:r>
                  <w:rPr>
                    <w:rFonts w:hint="eastAsia"/>
                    <w:sz w:val="18"/>
                    <w:szCs w:val="18"/>
                  </w:rPr>
                  <w:t>(0</w:t>
                </w:r>
                <w:r>
                  <w:rPr>
                    <w:rFonts w:hint="eastAsia"/>
                    <w:sz w:val="18"/>
                    <w:szCs w:val="18"/>
                    <w:lang w:val="en-US" w:eastAsia="zh-CN"/>
                  </w:rPr>
                  <w:t>5</w:t>
                </w:r>
                <w:r>
                  <w:rPr>
                    <w:rFonts w:hint="eastAsia"/>
                    <w:sz w:val="18"/>
                    <w:szCs w:val="18"/>
                  </w:rPr>
                  <w:t>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C46F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44</Words>
  <Characters>253</Characters>
  <Lines>2</Lines>
  <Paragraphs>1</Paragraphs>
  <TotalTime>1</TotalTime>
  <ScaleCrop>false</ScaleCrop>
  <LinksUpToDate>false</LinksUpToDate>
  <CharactersWithSpaces>296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2021-10-11T01:15:39Z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2052-11.1.0.10938</vt:lpwstr>
  </property>
</Properties>
</file>