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0151-2018-2021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</w:rPr>
              <w:t>转换接头硬度测</w:t>
            </w:r>
            <w:r>
              <w:rPr>
                <w:rFonts w:hint="eastAsia" w:ascii="Times New Roman" w:hAnsi="Times New Roman" w:cs="宋体"/>
                <w:lang w:eastAsia="zh-CN"/>
              </w:rPr>
              <w:t>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</w:t>
            </w:r>
            <w:r>
              <w:rPr>
                <w:rFonts w:hint="eastAsia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~</w:t>
            </w:r>
            <w:r>
              <w:rPr>
                <w:rFonts w:hint="eastAsia" w:ascii="Times New Roman" w:hAnsi="Times New Roman" w:cs="Times New Roman"/>
              </w:rPr>
              <w:t>340</w:t>
            </w:r>
            <w:r>
              <w:rPr>
                <w:rFonts w:ascii="Times New Roman" w:hAnsi="Times New Roman" w:cs="Times New Roman"/>
              </w:rPr>
              <w:t>)HB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color w:val="000000"/>
              </w:rPr>
              <w:t>±</w:t>
            </w:r>
            <w:r>
              <w:rPr>
                <w:rFonts w:hint="eastAsia" w:cs="宋体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0HB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布氏硬度计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1.0%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TSGK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《转换接头硬度测量过程控制规范》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《硬度计使用说明书》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《布氏硬度计操作规程》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丁忠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民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</w:rPr>
              <w:t>见《转换接头硬度测量不确定度评定》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见《转换接头硬度测量过程有效性确认记录》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</w:rPr>
              <w:t>见《转换接头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见《转换接头硬度计测量过程均值控制图》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: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503555" cy="412750"/>
            <wp:effectExtent l="0" t="0" r="4445" b="6350"/>
            <wp:docPr id="3" name="图片 3" descr="a0ad278b94fb916495dc4c333714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ad278b94fb916495dc4c333714d6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2145" t="45096" r="6340" b="2658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C6F3A"/>
    <w:multiLevelType w:val="singleLevel"/>
    <w:tmpl w:val="A32C6F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711693"/>
    <w:rsid w:val="78880404"/>
    <w:rsid w:val="7E137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2021-09-18T01:21:37Z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8BB66A3FA2DE4656A2E243220A69F4F6</vt:lpwstr>
  </property>
</Properties>
</file>