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0942-2021-EnMs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成都虹波实业股份有限公司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91510100201972607Y</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带标”不带标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w:t>
            </w:r>
            <w:r>
              <w:rPr>
                <w:rFonts w:hint="eastAsia" w:ascii="Times New Roman" w:hAnsi="Times New Roman" w:eastAsia="宋体" w:cs="Times New Roman"/>
                <w:sz w:val="22"/>
                <w:szCs w:val="22"/>
                <w:lang w:val="de-DE" w:eastAsia="zh-CN"/>
              </w:rPr>
              <w:t xml:space="preserve">RB/T </w:t>
            </w:r>
            <w:r>
              <w:rPr>
                <w:rFonts w:hint="default" w:ascii="Times New Roman" w:hAnsi="Times New Roman" w:eastAsia="宋体" w:cs="Times New Roman"/>
                <w:sz w:val="22"/>
                <w:szCs w:val="22"/>
                <w:lang w:val="en-US" w:eastAsia="zh-CN"/>
              </w:rPr>
              <w:fldChar w:fldCharType="begin"/>
            </w:r>
            <w:r>
              <w:rPr>
                <w:rFonts w:hint="default" w:ascii="Times New Roman" w:hAnsi="Times New Roman" w:eastAsia="宋体" w:cs="Times New Roman"/>
                <w:sz w:val="22"/>
                <w:szCs w:val="22"/>
                <w:lang w:val="en-US" w:eastAsia="zh-CN"/>
              </w:rPr>
              <w:instrText xml:space="preserve"> HYPERLINK "https://max.book118.com/html/2017/1019/137483715.shtm" \t "https://www.so.com/_blank" </w:instrText>
            </w:r>
            <w:r>
              <w:rPr>
                <w:rFonts w:hint="default" w:ascii="Times New Roman" w:hAnsi="Times New Roman" w:eastAsia="宋体" w:cs="Times New Roman"/>
                <w:sz w:val="22"/>
                <w:szCs w:val="22"/>
                <w:lang w:val="en-US" w:eastAsia="zh-CN"/>
              </w:rPr>
              <w:fldChar w:fldCharType="separate"/>
            </w:r>
            <w:r>
              <w:rPr>
                <w:rFonts w:hint="default" w:ascii="Times New Roman" w:hAnsi="Times New Roman" w:eastAsia="宋体" w:cs="Times New Roman"/>
                <w:sz w:val="22"/>
                <w:szCs w:val="22"/>
                <w:lang w:val="en-US" w:eastAsia="zh-CN"/>
              </w:rPr>
              <w:t>117-2014 能源管理体系</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有色金属企业认证要求</w:t>
            </w:r>
            <w:r>
              <w:rPr>
                <w:rFonts w:hint="default" w:ascii="Times New Roman" w:hAnsi="Times New Roman" w:eastAsia="宋体" w:cs="Times New Roman"/>
                <w:sz w:val="22"/>
                <w:szCs w:val="22"/>
                <w:lang w:val="en-US" w:eastAsia="zh-CN"/>
              </w:rPr>
              <w:fldChar w:fldCharType="end"/>
            </w:r>
            <w:r>
              <w:rPr>
                <w:rFonts w:hint="eastAsia" w:ascii="Times New Roman" w:hAnsi="Times New Roman" w:eastAsia="宋体" w:cs="Times New Roman"/>
                <w:sz w:val="22"/>
                <w:szCs w:val="22"/>
                <w:lang w:val="en-US" w:eastAsia="zh-CN"/>
              </w:rPr>
              <w:t xml:space="preserve">      </w:t>
            </w:r>
            <w:r>
              <w:rPr>
                <w:rFonts w:hint="eastAsia"/>
                <w:sz w:val="22"/>
                <w:szCs w:val="22"/>
                <w:lang w:val="en-US" w:eastAsia="zh-CN"/>
              </w:rPr>
              <w:t xml:space="preserve">             </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9" w:name="体系人数"/>
            <w:r>
              <w:rPr>
                <w:rFonts w:hint="eastAsia"/>
                <w:sz w:val="22"/>
                <w:szCs w:val="22"/>
                <w:lang w:val="en-US" w:eastAsia="zh-CN"/>
              </w:rPr>
              <w:t>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bookmarkStart w:id="20" w:name="_GoBack"/>
            <w:bookmarkEnd w:id="20"/>
            <w:r>
              <w:rPr>
                <w:rFonts w:hint="eastAsia"/>
                <w:b/>
                <w:color w:val="000000" w:themeColor="text1"/>
                <w:sz w:val="22"/>
                <w:szCs w:val="22"/>
                <w:lang w:eastAsia="zh-CN"/>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组织名称Add1"/>
            <w:r>
              <w:rPr>
                <w:rFonts w:hint="eastAsia" w:ascii="Times New Roman" w:hAnsi="Times New Roman" w:eastAsia="宋体" w:cs="Times New Roman"/>
                <w:b w:val="0"/>
                <w:kern w:val="2"/>
                <w:sz w:val="22"/>
                <w:szCs w:val="22"/>
                <w:lang w:val="en-US" w:eastAsia="zh-CN" w:bidi="ar-SA"/>
              </w:rPr>
              <w:t>成都虹波实业股份有限公司</w:t>
            </w:r>
            <w:bookmarkEnd w:id="14"/>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r>
              <w:rPr>
                <w:sz w:val="20"/>
              </w:rPr>
              <w:t>钨、钼</w:t>
            </w:r>
            <w:r>
              <w:rPr>
                <w:rFonts w:hint="eastAsia"/>
                <w:sz w:val="20"/>
              </w:rPr>
              <w:t>、复合金属</w:t>
            </w:r>
            <w:r>
              <w:rPr>
                <w:sz w:val="20"/>
              </w:rPr>
              <w:t>的设计、生产和售后服务所涉及的能源管理活动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成都市龙泉驿区成都经济技术开发区南京路198号</w:t>
            </w:r>
            <w:bookmarkEnd w:id="15"/>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四川省成都市龙泉驿区成都经济技术开发区南京路198号</w:t>
            </w:r>
            <w:bookmarkEnd w:id="16"/>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7" w:name="组织名称Add2"/>
      <w:r>
        <w:rPr>
          <w:rFonts w:hint="eastAsia"/>
          <w:b/>
          <w:color w:val="000000" w:themeColor="text1"/>
          <w:sz w:val="22"/>
          <w:szCs w:val="22"/>
          <w:u w:val="single"/>
          <w:lang w:val="en-US" w:eastAsia="zh-CN"/>
        </w:rPr>
        <w:t>成都虹波实业股份有限公司</w:t>
      </w:r>
      <w:bookmarkEnd w:id="17"/>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18" w:name="证书编号Add1"/>
      <w:bookmarkEnd w:id="18"/>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19" w:name="生产地址"/>
      <w:r>
        <w:rPr>
          <w:rFonts w:hint="eastAsia"/>
          <w:b/>
          <w:color w:val="000000" w:themeColor="text1"/>
          <w:sz w:val="22"/>
          <w:szCs w:val="22"/>
          <w:u w:val="single"/>
          <w:lang w:val="en-US" w:eastAsia="zh-CN"/>
        </w:rPr>
        <w:t>四川省成都市龙泉区经济技术开发区南京路198号</w:t>
      </w:r>
      <w:bookmarkEnd w:id="19"/>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w:t>
      </w:r>
      <w:r>
        <w:rPr>
          <w:rFonts w:hint="eastAsia" w:ascii="Times New Roman" w:hAnsi="Times New Roman" w:eastAsia="宋体" w:cs="Times New Roman"/>
          <w:sz w:val="22"/>
          <w:szCs w:val="22"/>
          <w:lang w:val="en-US" w:eastAsia="zh-CN"/>
        </w:rPr>
        <w:t>GB/T 23331-2020/ISO50001:2018《能源管理体系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default" w:ascii="Times New Roman" w:hAnsi="Times New Roman" w:eastAsia="宋体" w:cs="Times New Roman"/>
          <w:sz w:val="22"/>
          <w:szCs w:val="22"/>
          <w:lang w:val="en-US" w:eastAsia="zh-CN"/>
        </w:rPr>
        <w:fldChar w:fldCharType="begin"/>
      </w:r>
      <w:r>
        <w:rPr>
          <w:rFonts w:hint="default" w:ascii="Times New Roman" w:hAnsi="Times New Roman" w:eastAsia="宋体" w:cs="Times New Roman"/>
          <w:sz w:val="22"/>
          <w:szCs w:val="22"/>
          <w:lang w:val="en-US" w:eastAsia="zh-CN"/>
        </w:rPr>
        <w:instrText xml:space="preserve"> HYPERLINK "https://max.book118.com/html/2017/1019/137483715.shtm" \t "https://www.so.com/_blank" </w:instrText>
      </w:r>
      <w:r>
        <w:rPr>
          <w:rFonts w:hint="default" w:ascii="Times New Roman" w:hAnsi="Times New Roman" w:eastAsia="宋体" w:cs="Times New Roman"/>
          <w:sz w:val="22"/>
          <w:szCs w:val="22"/>
          <w:lang w:val="en-US" w:eastAsia="zh-CN"/>
        </w:rPr>
        <w:fldChar w:fldCharType="separate"/>
      </w:r>
      <w:r>
        <w:rPr>
          <w:rFonts w:hint="default" w:ascii="Times New Roman" w:hAnsi="Times New Roman" w:eastAsia="宋体" w:cs="Times New Roman"/>
          <w:sz w:val="22"/>
          <w:szCs w:val="22"/>
          <w:lang w:val="en-US" w:eastAsia="zh-CN"/>
        </w:rPr>
        <w:t>117-2014 能源管理体系</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有色金属企业认证要求</w:t>
      </w:r>
      <w:r>
        <w:rPr>
          <w:rFonts w:hint="default" w:ascii="Times New Roman" w:hAnsi="Times New Roman" w:eastAsia="宋体" w:cs="Times New Roman"/>
          <w:sz w:val="22"/>
          <w:szCs w:val="22"/>
          <w:lang w:val="en-US" w:eastAsia="zh-CN"/>
        </w:rPr>
        <w:fldChar w:fldCharType="end"/>
      </w:r>
      <w:r>
        <w:rPr>
          <w:rFonts w:hint="eastAsia" w:ascii="Times New Roman" w:hAnsi="Times New Roman" w:eastAsia="宋体" w:cs="Times New Roman"/>
          <w:sz w:val="22"/>
          <w:szCs w:val="22"/>
          <w:lang w:val="en-US" w:eastAsia="zh-CN"/>
        </w:rPr>
        <w:t xml:space="preserve">      </w:t>
      </w:r>
      <w:r>
        <w:rPr>
          <w:rFonts w:hint="eastAsia"/>
          <w:sz w:val="22"/>
          <w:szCs w:val="22"/>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09</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09~12</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numPr>
                <w:ilvl w:val="0"/>
                <w:numId w:val="1"/>
              </w:numPr>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边界：位于四川省成都市龙泉区经济技术开发区南京路198号园区的成都虹波实业股份有限公司。</w:t>
            </w:r>
          </w:p>
          <w:p>
            <w:pPr>
              <w:pStyle w:val="2"/>
              <w:numPr>
                <w:ilvl w:val="0"/>
                <w:numId w:val="1"/>
              </w:numPr>
              <w:spacing w:line="320" w:lineRule="exact"/>
              <w:ind w:firstLine="0"/>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主要用能系统：钼粉制造部、丝材部、制品制造部、特材生产部、设备动力部。</w:t>
            </w:r>
          </w:p>
          <w:p>
            <w:pPr>
              <w:pStyle w:val="2"/>
              <w:numPr>
                <w:ilvl w:val="0"/>
                <w:numId w:val="1"/>
              </w:numPr>
              <w:spacing w:line="320" w:lineRule="exact"/>
              <w:ind w:firstLine="0"/>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辅助生产系统：质量管理部、人力资源部、财务部、安全环保部、制品经营部、钼粉经营部。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b/>
                <w:bCs/>
                <w:sz w:val="20"/>
                <w:lang w:val="en-US" w:eastAsia="zh-CN"/>
              </w:rPr>
            </w:pPr>
            <w:r>
              <w:rPr>
                <w:rFonts w:hint="eastAsia"/>
                <w:b/>
                <w:bCs/>
                <w:sz w:val="20"/>
                <w:lang w:val="en-US" w:eastAsia="zh-CN"/>
              </w:rPr>
              <w:t>产量：</w:t>
            </w:r>
            <w:r>
              <w:rPr>
                <w:rFonts w:hint="eastAsia" w:ascii="Times New Roman" w:hAnsi="Times New Roman" w:eastAsia="宋体" w:cs="Times New Roman"/>
                <w:sz w:val="20"/>
                <w:szCs w:val="22"/>
                <w:lang w:val="en-US" w:eastAsia="zh-CN"/>
              </w:rPr>
              <w:t>2777212.66kg</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r>
              <w:rPr>
                <w:rFonts w:hint="eastAsia" w:ascii="Times New Roman" w:hAnsi="Times New Roman" w:eastAsia="宋体" w:cs="Times New Roman"/>
                <w:sz w:val="20"/>
                <w:szCs w:val="22"/>
                <w:lang w:val="en-US" w:eastAsia="zh-CN"/>
              </w:rPr>
              <w:t>61616.80</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ascii="宋体" w:hAnsi="宋体" w:eastAsia="宋体"/>
                <w:b/>
                <w:color w:val="000000" w:themeColor="text1"/>
                <w:szCs w:val="24"/>
                <w:lang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ascii="Times New Roman" w:hAnsi="Times New Roman" w:eastAsia="宋体" w:cs="Times New Roman"/>
                <w:sz w:val="20"/>
                <w:szCs w:val="22"/>
                <w:lang w:val="zh-CN" w:eastAsia="zh-CN"/>
              </w:rPr>
              <w:t>3635</w:t>
            </w:r>
            <w:r>
              <w:rPr>
                <w:rFonts w:hint="eastAsia" w:ascii="Times New Roman" w:hAnsi="Times New Roman" w:eastAsia="宋体" w:cs="Times New Roman"/>
                <w:sz w:val="20"/>
                <w:szCs w:val="22"/>
                <w:lang w:val="en-US" w:eastAsia="zh-CN"/>
              </w:rPr>
              <w:t>.</w:t>
            </w:r>
            <w:r>
              <w:rPr>
                <w:rFonts w:hint="eastAsia" w:ascii="Times New Roman" w:hAnsi="Times New Roman" w:eastAsia="宋体" w:cs="Times New Roman"/>
                <w:sz w:val="20"/>
                <w:szCs w:val="22"/>
                <w:lang w:val="zh-CN" w:eastAsia="zh-CN"/>
              </w:rPr>
              <w:t>52</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6" w:type="dxa"/>
            <w:vMerge w:val="continue"/>
          </w:tcPr>
          <w:p>
            <w:pPr>
              <w:pStyle w:val="2"/>
              <w:spacing w:line="400" w:lineRule="exact"/>
              <w:ind w:firstLine="0"/>
              <w:rPr>
                <w:rFonts w:hint="eastAsia"/>
                <w:sz w:val="20"/>
                <w:szCs w:val="22"/>
              </w:rPr>
            </w:pPr>
          </w:p>
        </w:tc>
        <w:tc>
          <w:tcPr>
            <w:tcW w:w="4735" w:type="dxa"/>
          </w:tcPr>
          <w:p>
            <w:pPr>
              <w:rPr>
                <w:rFonts w:ascii="宋体" w:hAnsi="宋体"/>
                <w:b/>
                <w:color w:val="000000" w:themeColor="text1"/>
                <w:szCs w:val="24"/>
              </w:rPr>
            </w:pPr>
            <w:r>
              <w:rPr>
                <w:rFonts w:hint="eastAsia"/>
                <w:b/>
                <w:bCs/>
                <w:sz w:val="20"/>
                <w:szCs w:val="22"/>
                <w:lang w:val="en-US" w:eastAsia="zh-CN"/>
              </w:rPr>
              <w:t>单位能耗：</w:t>
            </w:r>
            <w:r>
              <w:rPr>
                <w:rFonts w:hint="eastAsia" w:ascii="Times New Roman" w:hAnsi="Times New Roman" w:eastAsia="宋体" w:cs="Times New Roman"/>
                <w:kern w:val="2"/>
                <w:sz w:val="20"/>
                <w:szCs w:val="22"/>
                <w:lang w:val="en-US" w:eastAsia="zh-CN" w:bidi="ar-SA"/>
              </w:rPr>
              <w:t>1.31kgce/kg</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lang w:val="en-US" w:eastAsia="zh-CN" w:bidi="ar-SA"/>
              </w:rPr>
              <w:t>政府没有下达节能指标</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7BCE9"/>
    <w:multiLevelType w:val="singleLevel"/>
    <w:tmpl w:val="BDE7BC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0B5E2B"/>
    <w:rsid w:val="4AC17533"/>
    <w:rsid w:val="77D24FEA"/>
    <w:rsid w:val="7DDB3E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2021-09-12T10:59:09Z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