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0942-2021-EnMs</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成都虹波实业股份有限公司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☑能源管理体系（EnMS）</w:t>
      </w:r>
    </w:p>
    <w:p>
      <w:pPr>
        <w:jc w:val="left"/>
        <w:rPr>
          <w:sz w:val="28"/>
          <w:szCs w:val="28"/>
        </w:rPr>
      </w:pPr>
    </w:p>
    <w:p>
      <w:pPr>
        <w:pStyle w:val="2"/>
      </w:pPr>
    </w:p>
    <w:p>
      <w:pPr>
        <w:pStyle w:val="2"/>
      </w:pPr>
    </w:p>
    <w:p>
      <w:pPr>
        <w:pStyle w:val="2"/>
      </w:pPr>
    </w:p>
    <w:p>
      <w:pPr>
        <w:pStyle w:val="2"/>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rPr>
          <w:rFonts w:hint="eastAsia"/>
          <w:sz w:val="32"/>
          <w:szCs w:val="32"/>
        </w:rPr>
        <w:fldChar w:fldCharType="end"/>
      </w: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成都虹波实业股份有限公司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成都市龙泉驿区成都经济技术开发区南京路198号</w:t>
            </w:r>
            <w:bookmarkEnd w:id="6"/>
          </w:p>
        </w:tc>
        <w:tc>
          <w:tcPr>
            <w:tcW w:w="1242" w:type="dxa"/>
            <w:vMerge w:val="restart"/>
            <w:vAlign w:val="center"/>
          </w:tcPr>
          <w:p>
            <w:r>
              <w:rPr>
                <w:rFonts w:hint="eastAsia"/>
              </w:rPr>
              <w:t>邮编</w:t>
            </w:r>
          </w:p>
        </w:tc>
        <w:tc>
          <w:tcPr>
            <w:tcW w:w="1771" w:type="dxa"/>
          </w:tcPr>
          <w:p>
            <w:bookmarkStart w:id="7" w:name="注册邮编"/>
            <w:r>
              <w:t>610000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四川省成都市龙泉驿区成都经济技术开发区南京路198号</w:t>
            </w:r>
            <w:bookmarkEnd w:id="8"/>
          </w:p>
        </w:tc>
        <w:tc>
          <w:tcPr>
            <w:tcW w:w="1242" w:type="dxa"/>
            <w:vMerge w:val="continue"/>
            <w:vAlign w:val="center"/>
          </w:tcPr>
          <w:p/>
        </w:tc>
        <w:tc>
          <w:tcPr>
            <w:tcW w:w="1771" w:type="dxa"/>
          </w:tcPr>
          <w:p>
            <w:bookmarkStart w:id="9" w:name="办公邮编"/>
            <w:r>
              <w:t>610000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王劲松</w:t>
            </w:r>
            <w:bookmarkEnd w:id="10"/>
          </w:p>
        </w:tc>
        <w:tc>
          <w:tcPr>
            <w:tcW w:w="1313" w:type="dxa"/>
            <w:vAlign w:val="center"/>
          </w:tcPr>
          <w:p>
            <w:r>
              <w:rPr>
                <w:rFonts w:hint="eastAsia"/>
              </w:rPr>
              <w:t>电话.</w:t>
            </w:r>
          </w:p>
        </w:tc>
        <w:tc>
          <w:tcPr>
            <w:tcW w:w="2180" w:type="dxa"/>
            <w:vAlign w:val="center"/>
          </w:tcPr>
          <w:p>
            <w:bookmarkStart w:id="11" w:name="联系人电话"/>
            <w:r>
              <w:t>13880163921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李明琪</w:t>
            </w:r>
            <w:bookmarkEnd w:id="13"/>
          </w:p>
        </w:tc>
        <w:tc>
          <w:tcPr>
            <w:tcW w:w="1313" w:type="dxa"/>
            <w:vAlign w:val="center"/>
          </w:tcPr>
          <w:p>
            <w:r>
              <w:rPr>
                <w:rFonts w:hint="eastAsia"/>
              </w:rPr>
              <w:t>管理者代表</w:t>
            </w:r>
          </w:p>
        </w:tc>
        <w:tc>
          <w:tcPr>
            <w:tcW w:w="2180" w:type="dxa"/>
          </w:tcPr>
          <w:p>
            <w:bookmarkStart w:id="14" w:name="管理者代表"/>
            <w:r>
              <w:t>王劲松</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 □双班 ☑三班  □其他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tabs>
                <w:tab w:val="left" w:pos="360"/>
              </w:tabs>
              <w:ind w:left="360" w:hanging="360"/>
              <w:rPr>
                <w:rFonts w:hint="eastAsia" w:ascii="宋体"/>
                <w:color w:val="000000"/>
                <w:szCs w:val="21"/>
              </w:rPr>
            </w:pPr>
            <w:r>
              <w:rPr>
                <w:rFonts w:hint="eastAsia" w:ascii="宋体"/>
                <w:color w:val="000000"/>
                <w:szCs w:val="21"/>
                <w:lang w:val="en-US" w:eastAsia="zh-CN"/>
              </w:rPr>
              <w:t>1、</w:t>
            </w:r>
            <w:r>
              <w:rPr>
                <w:rFonts w:hint="eastAsia" w:ascii="宋体"/>
                <w:color w:val="000000"/>
                <w:szCs w:val="21"/>
              </w:rPr>
              <w:t>钼/钨的氧化物——经还原——钼/钨粉——经压制烧结——钼/钨金属烧结制品（包括钼/钨棒、钼/钨板、异形件、特种合金等）钼/钨金属烧结制品可继续深加工</w:t>
            </w:r>
          </w:p>
          <w:p>
            <w:pPr>
              <w:tabs>
                <w:tab w:val="left" w:pos="360"/>
              </w:tabs>
              <w:ind w:left="360" w:hanging="360"/>
              <w:rPr>
                <w:rFonts w:hint="eastAsia" w:ascii="宋体"/>
                <w:color w:val="000000"/>
                <w:szCs w:val="21"/>
              </w:rPr>
            </w:pPr>
            <w:r>
              <w:rPr>
                <w:rFonts w:hint="eastAsia" w:ascii="宋体"/>
                <w:color w:val="000000"/>
                <w:szCs w:val="21"/>
                <w:lang w:val="en-US" w:eastAsia="zh-CN"/>
              </w:rPr>
              <w:t>2、</w:t>
            </w:r>
            <w:r>
              <w:rPr>
                <w:rFonts w:hint="eastAsia" w:ascii="宋体"/>
                <w:color w:val="000000"/>
                <w:szCs w:val="21"/>
              </w:rPr>
              <w:t>钼/钨棒­——经加工——钼/钨杆——经加工——钼/钨丝——经复合——复合金属</w:t>
            </w:r>
          </w:p>
          <w:p>
            <w:r>
              <w:rPr>
                <w:rFonts w:hint="eastAsia" w:ascii="宋体"/>
                <w:color w:val="000000"/>
                <w:szCs w:val="21"/>
                <w:lang w:val="en-US" w:eastAsia="zh-CN"/>
              </w:rPr>
              <w:t>3、</w:t>
            </w:r>
            <w:r>
              <w:rPr>
                <w:rFonts w:hint="eastAsia" w:ascii="宋体"/>
                <w:color w:val="000000"/>
                <w:szCs w:val="21"/>
              </w:rPr>
              <w:t>钼/钨板­——经加工——钼/钨箔­——经加工——钼/钨带</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5" w:name="审核日期"/>
            <w:r>
              <w:rPr>
                <w:rFonts w:hint="eastAsia"/>
              </w:rPr>
              <w:t>2021年09月09日 上午至2021年09月12日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Add1"/>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1"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 xml:space="preserve">/ISO 9001:2015  </w:t>
            </w:r>
            <w:bookmarkStart w:id="21" w:name="QJ勾选"/>
            <w:r>
              <w:rPr>
                <w:rFonts w:hint="eastAsia"/>
                <w:lang w:val="de-DE"/>
              </w:rPr>
              <w:t>□</w:t>
            </w:r>
            <w:bookmarkEnd w:id="21"/>
            <w:r>
              <w:rPr>
                <w:rFonts w:hint="eastAsia"/>
                <w:lang w:val="de-DE"/>
              </w:rPr>
              <w:t>GB/T 50430-2017</w:t>
            </w:r>
            <w:r>
              <w:rPr>
                <w:rFonts w:hint="eastAsia"/>
              </w:rPr>
              <w:t xml:space="preserve">    </w:t>
            </w:r>
          </w:p>
          <w:p>
            <w:pPr>
              <w:rPr>
                <w:lang w:val="de-DE"/>
              </w:rPr>
            </w:pPr>
            <w:bookmarkStart w:id="22" w:name="E勾选Add1"/>
            <w:r>
              <w:rPr>
                <w:rFonts w:hint="eastAsia"/>
                <w:lang w:val="de-DE"/>
              </w:rPr>
              <w:t>□</w:t>
            </w:r>
            <w:bookmarkEnd w:id="22"/>
            <w:r>
              <w:rPr>
                <w:rFonts w:hint="eastAsia"/>
                <w:lang w:val="de-DE"/>
              </w:rPr>
              <w:t>GB/T24001-2016</w:t>
            </w:r>
            <w:r>
              <w:rPr>
                <w:rFonts w:hint="eastAsia"/>
              </w:rPr>
              <w:t xml:space="preserve">/ISO 14001:2015 </w:t>
            </w:r>
            <w:bookmarkStart w:id="23" w:name="S勾选Add1"/>
            <w:r>
              <w:rPr>
                <w:rFonts w:hint="eastAsia"/>
                <w:lang w:val="de-DE"/>
              </w:rPr>
              <w:t>□</w:t>
            </w:r>
            <w:bookmarkEnd w:id="23"/>
            <w:r>
              <w:rPr>
                <w:rFonts w:hint="eastAsia"/>
              </w:rPr>
              <w:t>GB/T 45001-2020/</w:t>
            </w:r>
            <w:r>
              <w:rPr>
                <w:rFonts w:hint="eastAsia"/>
                <w:lang w:val="de-DE"/>
              </w:rPr>
              <w:t>ISO45001：2018</w:t>
            </w:r>
          </w:p>
          <w:p>
            <w:pPr>
              <w:rPr>
                <w:lang w:val="de-DE"/>
              </w:rPr>
            </w:pPr>
            <w:r>
              <w:rPr>
                <w:rFonts w:hint="eastAsia"/>
                <w:lang w:val="de-DE"/>
              </w:rPr>
              <w:t>☑</w:t>
            </w:r>
            <w:r>
              <w:rPr>
                <w:rFonts w:hint="eastAsia"/>
              </w:rPr>
              <w:t>GB/T 23331-2020/</w:t>
            </w:r>
            <w:r>
              <w:rPr>
                <w:rFonts w:hint="eastAsia"/>
                <w:lang w:val="de-DE"/>
              </w:rPr>
              <w:t xml:space="preserve">ISO50001：2018标准  </w:t>
            </w:r>
          </w:p>
          <w:p>
            <w:pPr>
              <w:rPr>
                <w:rFonts w:hint="default" w:ascii="宋体" w:hAnsi="宋体" w:eastAsia="宋体" w:cs="Times New Roman"/>
                <w:b/>
                <w:sz w:val="21"/>
                <w:szCs w:val="21"/>
                <w:lang w:eastAsia="zh-CN"/>
              </w:rPr>
            </w:pPr>
            <w:r>
              <w:rPr>
                <w:rFonts w:hint="eastAsia"/>
                <w:lang w:val="de-DE" w:eastAsia="zh-CN"/>
              </w:rPr>
              <w:t>☑</w:t>
            </w:r>
            <w:r>
              <w:rPr>
                <w:rFonts w:hint="eastAsia" w:ascii="Times New Roman" w:hAnsi="Times New Roman" w:cs="Times New Roman"/>
                <w:lang w:val="de-DE" w:eastAsia="zh-CN"/>
              </w:rPr>
              <w:t xml:space="preserve">RB/T </w:t>
            </w: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HYPERLINK "https://max.book118.com/html/2017/1019/137483715.shtm" \t "https://www.so.com/_blank"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117-2014 能源管理体系</w:t>
            </w:r>
            <w:r>
              <w:rPr>
                <w:rFonts w:hint="eastAsia" w:ascii="Times New Roman" w:hAnsi="Times New Roman" w:cs="Times New Roman"/>
                <w:lang w:val="en-US" w:eastAsia="zh-CN"/>
              </w:rPr>
              <w:t xml:space="preserve"> </w:t>
            </w:r>
            <w:r>
              <w:rPr>
                <w:rFonts w:hint="default" w:ascii="Times New Roman" w:hAnsi="Times New Roman" w:cs="Times New Roman"/>
                <w:lang w:eastAsia="zh-CN"/>
              </w:rPr>
              <w:t>有色金属企业认证要求</w:t>
            </w:r>
            <w:r>
              <w:rPr>
                <w:rFonts w:hint="default" w:ascii="Times New Roman" w:hAnsi="Times New Roman" w:cs="Times New Roman"/>
                <w:lang w:eastAsia="zh-CN"/>
              </w:rPr>
              <w:fldChar w:fldCharType="end"/>
            </w:r>
          </w:p>
          <w:p>
            <w:r>
              <w:rPr>
                <w:rFonts w:hint="eastAsia"/>
                <w:lang w:val="de-DE"/>
              </w:rPr>
              <w:t>☑受审核方</w:t>
            </w:r>
            <w:r>
              <w:rPr>
                <w:rFonts w:hint="eastAsia"/>
              </w:rPr>
              <w:t xml:space="preserve">管理体系成文信息               </w:t>
            </w:r>
            <w:r>
              <w:rPr>
                <w:rFonts w:hint="eastAsia"/>
                <w:lang w:val="de-DE"/>
              </w:rPr>
              <w:t>□</w:t>
            </w:r>
            <w:r>
              <w:rPr>
                <w:rFonts w:hint="eastAsia"/>
              </w:rPr>
              <w:t>顾客要求</w:t>
            </w:r>
          </w:p>
          <w:p>
            <w:r>
              <w:rPr>
                <w:rFonts w:hint="eastAsia"/>
                <w:lang w:val="de-DE"/>
              </w:rPr>
              <w:t>□适用于受审核方的法律法规及其他要求</w:t>
            </w:r>
            <w:r>
              <w:rPr>
                <w:rFonts w:hint="eastAsia"/>
              </w:rPr>
              <w:t xml:space="preserve">     </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初审Add1"/>
            <w:r>
              <w:rPr>
                <w:rFonts w:hint="eastAsia"/>
              </w:rPr>
              <w:t>■</w:t>
            </w:r>
            <w:bookmarkEnd w:id="24"/>
            <w:r>
              <w:rPr>
                <w:rFonts w:hint="eastAsia"/>
              </w:rPr>
              <w:t xml:space="preserve">初审二阶段  </w:t>
            </w:r>
            <w:bookmarkStart w:id="25" w:name="监督勾选"/>
            <w:r>
              <w:rPr>
                <w:rFonts w:hint="eastAsia"/>
              </w:rPr>
              <w:t>□</w:t>
            </w:r>
            <w:bookmarkEnd w:id="25"/>
            <w:r>
              <w:rPr>
                <w:rFonts w:hint="eastAsia"/>
              </w:rPr>
              <w:t>监督 第</w:t>
            </w:r>
            <w:r>
              <w:rPr>
                <w:rFonts w:hint="eastAsia"/>
                <w:lang w:eastAsia="zh-CN"/>
              </w:rPr>
              <w:t>（</w:t>
            </w:r>
            <w:r>
              <w:rPr>
                <w:rFonts w:hint="eastAsia"/>
                <w:lang w:val="en-US" w:eastAsia="zh-CN"/>
              </w:rPr>
              <w:t xml:space="preserve"> </w:t>
            </w:r>
            <w:r>
              <w:rPr>
                <w:rFonts w:hint="eastAsia"/>
                <w:lang w:eastAsia="zh-CN"/>
              </w:rPr>
              <w:t>）</w:t>
            </w:r>
            <w:r>
              <w:rPr>
                <w:rFonts w:hint="eastAsia"/>
              </w:rPr>
              <w:t xml:space="preserve">次监督审核  </w:t>
            </w:r>
            <w:bookmarkStart w:id="26" w:name="再认证勾选"/>
            <w:r>
              <w:rPr>
                <w:rFonts w:hint="eastAsia"/>
              </w:rPr>
              <w:t>□</w:t>
            </w:r>
            <w:bookmarkEnd w:id="26"/>
            <w:r>
              <w:rPr>
                <w:rFonts w:hint="eastAsia"/>
              </w:rPr>
              <w:t xml:space="preserve">再认证 </w:t>
            </w:r>
            <w:bookmarkStart w:id="27" w:name="扩项勾选Add1"/>
            <w:r>
              <w:rPr>
                <w:rFonts w:hint="eastAsia"/>
              </w:rPr>
              <w:t>□</w:t>
            </w:r>
            <w:bookmarkEnd w:id="27"/>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成都市龙泉驿区成都经济技术开发区南京路198号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8" w:name="审核范围"/>
            <w:r>
              <w:rPr>
                <w:sz w:val="20"/>
              </w:rPr>
              <w:t>钨、钼</w:t>
            </w:r>
            <w:r>
              <w:rPr>
                <w:rFonts w:hint="eastAsia"/>
                <w:sz w:val="20"/>
              </w:rPr>
              <w:t>、复合金属</w:t>
            </w:r>
            <w:r>
              <w:rPr>
                <w:sz w:val="20"/>
              </w:rPr>
              <w:t>的设计、生产和售后服务所涉及的能源管理活动</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2.2</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w:t>
            </w:r>
            <w:r>
              <w:rPr>
                <w:rFonts w:hint="eastAsia"/>
                <w:lang w:val="en-US" w:eastAsia="zh-CN"/>
              </w:rPr>
              <w:t>2021</w:t>
            </w:r>
            <w:r>
              <w:rPr>
                <w:rFonts w:hint="eastAsia"/>
              </w:rPr>
              <w:t>年</w:t>
            </w:r>
            <w:r>
              <w:rPr>
                <w:rFonts w:hint="eastAsia"/>
                <w:lang w:val="en-US" w:eastAsia="zh-CN"/>
              </w:rPr>
              <w:t>2</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w:t>
            </w:r>
            <w:r>
              <w:rPr>
                <w:rFonts w:hint="eastAsia"/>
                <w:lang w:val="en-US" w:eastAsia="zh-CN"/>
              </w:rPr>
              <w:t>6</w:t>
            </w:r>
            <w:r>
              <w:rPr>
                <w:rFonts w:hint="eastAsia"/>
              </w:rPr>
              <w:t>个月</w:t>
            </w:r>
          </w:p>
          <w:p>
            <w:r>
              <w:rPr>
                <w:rFonts w:hint="eastAsia"/>
                <w:b/>
                <w:bCs/>
              </w:rPr>
              <w:t>能源管理体系运行已超过6个月</w:t>
            </w:r>
          </w:p>
        </w:tc>
        <w:tc>
          <w:tcPr>
            <w:tcW w:w="3215" w:type="dxa"/>
            <w:vAlign w:val="center"/>
          </w:tcPr>
          <w:p>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年    月     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      年    月     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18"/>
                <w:szCs w:val="18"/>
              </w:rPr>
              <w:t>成都虹波实业股份有限公司</w:t>
            </w:r>
            <w:r>
              <w:rPr>
                <w:rFonts w:hint="eastAsia"/>
                <w:sz w:val="18"/>
                <w:szCs w:val="18"/>
                <w:lang w:val="en-US" w:eastAsia="zh-CN"/>
              </w:rPr>
              <w:t>/</w:t>
            </w:r>
            <w:r>
              <w:rPr>
                <w:sz w:val="18"/>
                <w:szCs w:val="18"/>
              </w:rPr>
              <w:t>成都市龙泉驿区成都经济技术开发区南京路198号</w:t>
            </w:r>
          </w:p>
        </w:tc>
        <w:tc>
          <w:tcPr>
            <w:tcW w:w="2267" w:type="dxa"/>
          </w:tcPr>
          <w:p>
            <w:pPr>
              <w:rPr>
                <w:lang w:val="de-DE" w:eastAsia="ja-JP"/>
              </w:rPr>
            </w:pPr>
            <w:r>
              <w:rPr>
                <w:sz w:val="18"/>
                <w:szCs w:val="18"/>
              </w:rPr>
              <w:t>成都市龙泉驿区成都经济技术开发区南京路198号</w:t>
            </w:r>
          </w:p>
        </w:tc>
        <w:tc>
          <w:tcPr>
            <w:tcW w:w="571" w:type="dxa"/>
            <w:vAlign w:val="center"/>
          </w:tcPr>
          <w:p>
            <w:pPr>
              <w:rPr>
                <w:rFonts w:hint="default" w:eastAsia="宋体"/>
                <w:lang w:val="en-US" w:eastAsia="zh-CN"/>
              </w:rPr>
            </w:pPr>
            <w:r>
              <w:rPr>
                <w:rFonts w:hint="eastAsia"/>
                <w:lang w:val="en-US" w:eastAsia="zh-CN"/>
              </w:rPr>
              <w:t>110</w:t>
            </w:r>
          </w:p>
        </w:tc>
        <w:tc>
          <w:tcPr>
            <w:tcW w:w="2803" w:type="dxa"/>
            <w:vAlign w:val="center"/>
          </w:tcPr>
          <w:p>
            <w:pPr>
              <w:rPr>
                <w:sz w:val="18"/>
                <w:szCs w:val="18"/>
                <w:lang w:eastAsia="ja-JP"/>
              </w:rPr>
            </w:pPr>
            <w:r>
              <w:rPr>
                <w:sz w:val="18"/>
                <w:szCs w:val="18"/>
              </w:rPr>
              <w:t>钨、钼产品的设计、生产和售后服务所涉及的能源管理活动</w:t>
            </w:r>
          </w:p>
        </w:tc>
        <w:tc>
          <w:tcPr>
            <w:tcW w:w="669" w:type="dxa"/>
            <w:vAlign w:val="center"/>
          </w:tcPr>
          <w:p>
            <w:pPr>
              <w:rPr>
                <w:rFonts w:hint="default"/>
                <w:sz w:val="18"/>
                <w:szCs w:val="18"/>
                <w:lang w:val="en-US" w:eastAsia="zh-CN"/>
              </w:rPr>
            </w:pPr>
            <w:r>
              <w:rPr>
                <w:rFonts w:hint="eastAsia"/>
                <w:sz w:val="18"/>
                <w:szCs w:val="18"/>
                <w:lang w:val="en-US" w:eastAsia="zh-CN"/>
              </w:rPr>
              <w:t>GB/T23331-2020</w:t>
            </w:r>
          </w:p>
        </w:tc>
        <w:tc>
          <w:tcPr>
            <w:tcW w:w="668" w:type="dxa"/>
            <w:shd w:val="clear" w:color="auto" w:fill="FFFFFF"/>
          </w:tcPr>
          <w:p>
            <w:r>
              <w:rPr>
                <w:rFonts w:hint="eastAsia"/>
              </w:rPr>
              <w:t>☐</w:t>
            </w:r>
          </w:p>
        </w:tc>
      </w:tr>
    </w:tbl>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周涛</w:t>
            </w:r>
          </w:p>
        </w:tc>
        <w:tc>
          <w:tcPr>
            <w:tcW w:w="1089" w:type="dxa"/>
            <w:vAlign w:val="center"/>
          </w:tcPr>
          <w:p>
            <w:r>
              <w:t>组长</w:t>
            </w:r>
          </w:p>
        </w:tc>
        <w:tc>
          <w:tcPr>
            <w:tcW w:w="711" w:type="dxa"/>
            <w:vAlign w:val="center"/>
          </w:tcPr>
          <w:p>
            <w:r>
              <w:t>男</w:t>
            </w:r>
          </w:p>
        </w:tc>
        <w:tc>
          <w:tcPr>
            <w:tcW w:w="3870" w:type="dxa"/>
            <w:vAlign w:val="center"/>
          </w:tcPr>
          <w:p>
            <w:r>
              <w:t>2018-N1EnMS-1072033</w:t>
            </w:r>
          </w:p>
        </w:tc>
        <w:tc>
          <w:tcPr>
            <w:tcW w:w="2179" w:type="dxa"/>
            <w:vAlign w:val="center"/>
          </w:tcPr>
          <w:p>
            <w: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王宁敏</w:t>
            </w:r>
          </w:p>
        </w:tc>
        <w:tc>
          <w:tcPr>
            <w:tcW w:w="1089" w:type="dxa"/>
            <w:vAlign w:val="center"/>
          </w:tcPr>
          <w:p>
            <w:r>
              <w:t>组员</w:t>
            </w:r>
          </w:p>
        </w:tc>
        <w:tc>
          <w:tcPr>
            <w:tcW w:w="711" w:type="dxa"/>
            <w:vAlign w:val="center"/>
          </w:tcPr>
          <w:p>
            <w:r>
              <w:t>男</w:t>
            </w:r>
          </w:p>
        </w:tc>
        <w:tc>
          <w:tcPr>
            <w:tcW w:w="3870" w:type="dxa"/>
            <w:vAlign w:val="center"/>
          </w:tcPr>
          <w:p>
            <w:r>
              <w:t>2021-N1EnMS-3061496</w:t>
            </w:r>
          </w:p>
        </w:tc>
        <w:tc>
          <w:tcPr>
            <w:tcW w:w="2179" w:type="dxa"/>
            <w:vAlign w:val="center"/>
          </w:tcPr>
          <w:p/>
        </w:tc>
      </w:tr>
    </w:tbl>
    <w:p/>
    <w:p/>
    <w:p>
      <w:r>
        <w:rPr>
          <w:rFonts w:hint="eastAsia"/>
        </w:rPr>
        <w:t xml:space="preserve">六、上次审核后发生的影响组织管理体系的重要变更（适用时）  </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sz w:val="20"/>
              </w:rPr>
              <w:t>钨、钼</w:t>
            </w:r>
            <w:r>
              <w:rPr>
                <w:rFonts w:hint="eastAsia"/>
                <w:sz w:val="20"/>
              </w:rPr>
              <w:t>、复合金属</w:t>
            </w:r>
            <w:r>
              <w:rPr>
                <w:sz w:val="20"/>
              </w:rPr>
              <w:t>的设计、生产和售后服务所涉及的能源管理活动</w:t>
            </w:r>
            <w:r>
              <w:rPr>
                <w:rFonts w:hint="eastAsia"/>
                <w:sz w:val="20"/>
                <w:lang w:eastAsia="zh-CN"/>
              </w:rPr>
              <w:t>。</w:t>
            </w:r>
            <w:bookmarkStart w:id="33" w:name="_GoBack"/>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 □QMS □EcMS □EMS □OHSMS</w:t>
      </w:r>
      <w:r>
        <w:rPr>
          <w:rFonts w:hint="eastAsia"/>
          <w:lang w:eastAsia="zh-CN"/>
        </w:rPr>
        <w:t>☑</w:t>
      </w:r>
      <w:r>
        <w:rPr>
          <w:rFonts w:hint="eastAsia"/>
        </w:rPr>
        <w:t>EnMS □FSMS □HACCP的附件）</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w:t>
            </w:r>
            <w:r>
              <w:rPr>
                <w:rFonts w:hint="eastAsia"/>
                <w:lang w:eastAsia="zh-CN"/>
              </w:rPr>
              <w:t>☑</w:t>
            </w:r>
            <w:r>
              <w:rPr>
                <w:rFonts w:hint="eastAsia"/>
              </w:rPr>
              <w:t>体系建立以来   □定期（近一年）  □其他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整改完毕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EnMS</w:t>
            </w:r>
          </w:p>
        </w:tc>
        <w:tc>
          <w:tcPr>
            <w:tcW w:w="1698" w:type="dxa"/>
          </w:tcPr>
          <w:p>
            <w:pPr>
              <w:rPr>
                <w:rFonts w:hint="eastAsia" w:eastAsia="宋体"/>
                <w:lang w:val="en-US" w:eastAsia="zh-CN"/>
              </w:rPr>
            </w:pPr>
            <w:r>
              <w:rPr>
                <w:rFonts w:hint="eastAsia"/>
                <w:lang w:val="en-US" w:eastAsia="zh-CN"/>
              </w:rPr>
              <w:t>2</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2</w:t>
            </w:r>
          </w:p>
        </w:tc>
        <w:tc>
          <w:tcPr>
            <w:tcW w:w="2965" w:type="dxa"/>
          </w:tcPr>
          <w:p>
            <w:r>
              <w:rPr>
                <w:rFonts w:hint="eastAsia"/>
                <w:lang w:eastAsia="zh-CN"/>
              </w:rPr>
              <w:t>☑</w:t>
            </w:r>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730" w:type="dxa"/>
            <w:vMerge w:val="continue"/>
            <w:shd w:val="clear" w:color="auto" w:fill="auto"/>
          </w:tcPr>
          <w:p/>
        </w:tc>
        <w:tc>
          <w:tcPr>
            <w:tcW w:w="970" w:type="dxa"/>
            <w:shd w:val="clear" w:color="auto" w:fill="auto"/>
          </w:tcPr>
          <w:p>
            <w:r>
              <w:rPr>
                <w:rFonts w:hint="eastAsia"/>
              </w:rPr>
              <w:t>EnMS</w:t>
            </w:r>
          </w:p>
        </w:tc>
        <w:tc>
          <w:tcPr>
            <w:tcW w:w="7380" w:type="dxa"/>
            <w:shd w:val="clear" w:color="auto" w:fill="auto"/>
          </w:tcPr>
          <w:p>
            <w:pPr>
              <w:rPr>
                <w:rFonts w:hint="eastAsia" w:eastAsia="宋体"/>
                <w:lang w:eastAsia="zh-CN"/>
              </w:rPr>
            </w:pPr>
            <w:r>
              <w:rPr>
                <w:sz w:val="20"/>
              </w:rPr>
              <w:t>钨、钼</w:t>
            </w:r>
            <w:r>
              <w:rPr>
                <w:rFonts w:hint="eastAsia"/>
                <w:sz w:val="20"/>
              </w:rPr>
              <w:t>、复合金属</w:t>
            </w:r>
            <w:r>
              <w:rPr>
                <w:sz w:val="20"/>
              </w:rPr>
              <w:t>的设计、生产和售后服务所涉及的能源管理活动</w:t>
            </w:r>
            <w:r>
              <w:rPr>
                <w:rFonts w:hint="eastAsia"/>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 xml:space="preserve">□中止审核  □终止审核  </w:t>
            </w:r>
            <w:r>
              <w:rPr>
                <w:rFonts w:hint="eastAsia" w:ascii="宋体"/>
                <w:b/>
                <w:color w:val="0000FF"/>
                <w:szCs w:val="21"/>
                <w:lang w:eastAsia="zh-CN"/>
              </w:rPr>
              <w:t>□</w:t>
            </w:r>
            <w:r>
              <w:rPr>
                <w:rFonts w:hint="eastAsia" w:ascii="宋体"/>
                <w:b/>
                <w:color w:val="0000FF"/>
                <w:szCs w:val="21"/>
              </w:rPr>
              <w:t>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ascii="宋体" w:hAnsi="宋体"/>
              </w:rPr>
              <w:drawing>
                <wp:anchor distT="0" distB="0" distL="114300" distR="114300" simplePos="0" relativeHeight="251661312" behindDoc="0" locked="0" layoutInCell="1" allowOverlap="1">
                  <wp:simplePos x="0" y="0"/>
                  <wp:positionH relativeFrom="column">
                    <wp:posOffset>650240</wp:posOffset>
                  </wp:positionH>
                  <wp:positionV relativeFrom="page">
                    <wp:posOffset>-5199380</wp:posOffset>
                  </wp:positionV>
                  <wp:extent cx="570230" cy="435610"/>
                  <wp:effectExtent l="0" t="0" r="1270" b="8890"/>
                  <wp:wrapSquare wrapText="bothSides"/>
                  <wp:docPr id="6" name="图片 3" descr="15539996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1553999692(1)"/>
                          <pic:cNvPicPr>
                            <a:picLocks noChangeAspect="1"/>
                          </pic:cNvPicPr>
                        </pic:nvPicPr>
                        <pic:blipFill>
                          <a:blip r:embed="rId6">
                            <a:lum bright="35999"/>
                          </a:blip>
                          <a:stretch>
                            <a:fillRect/>
                          </a:stretch>
                        </pic:blipFill>
                        <pic:spPr>
                          <a:xfrm>
                            <a:off x="0" y="0"/>
                            <a:ext cx="570230" cy="43561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2021.9.12</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r>
        <w:rPr>
          <w:rFonts w:hint="eastAsia"/>
          <w:lang w:eastAsia="zh-CN"/>
        </w:rPr>
        <w:t>☑</w:t>
      </w:r>
      <w:r>
        <w:rPr>
          <w:rFonts w:hint="eastAsia"/>
        </w:rPr>
        <w:t>”；</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spacing w:before="40" w:after="40"/>
        <w:rPr>
          <w:rFonts w:eastAsia="微软雅黑"/>
          <w:sz w:val="20"/>
          <w:szCs w:val="20"/>
        </w:rPr>
      </w:pPr>
    </w:p>
    <w:p>
      <w:pPr>
        <w:shd w:val="clear" w:color="auto" w:fill="EBF1DE" w:themeFill="accent3" w:themeFillTint="32"/>
      </w:pPr>
      <w:r>
        <w:t xml:space="preserve">附件 </w:t>
      </w:r>
      <w:r>
        <w:rPr>
          <w:rFonts w:hint="eastAsia"/>
        </w:rPr>
        <w:t>GB/T 23331-2020/</w:t>
      </w:r>
      <w:r>
        <w:t>ISO</w:t>
      </w:r>
      <w:r>
        <w:rPr>
          <w:rFonts w:hint="eastAsia"/>
        </w:rPr>
        <w:t xml:space="preserve"> 50</w:t>
      </w:r>
      <w:r>
        <w:t>001:201</w:t>
      </w:r>
      <w:r>
        <w:rPr>
          <w:rFonts w:hint="eastAsia"/>
        </w:rPr>
        <w:t>8</w:t>
      </w:r>
      <w:r>
        <w:t xml:space="preserve"> (若不是 </w:t>
      </w:r>
      <w:r>
        <w:rPr>
          <w:rFonts w:hint="eastAsia"/>
        </w:rPr>
        <w:t>GB/T 23331-2020/</w:t>
      </w:r>
      <w:r>
        <w:t>ISO</w:t>
      </w:r>
      <w:r>
        <w:rPr>
          <w:rFonts w:hint="eastAsia"/>
        </w:rPr>
        <w:t>50</w:t>
      </w:r>
      <w:r>
        <w:t>001:201</w:t>
      </w:r>
      <w:r>
        <w:rPr>
          <w:rFonts w:hint="eastAsia"/>
        </w:rPr>
        <w:t>8</w:t>
      </w:r>
      <w:r>
        <w:t>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EnMS体系建立以来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□技术 </w:t>
                  </w:r>
                  <w:r>
                    <w:rPr>
                      <w:rFonts w:hint="eastAsia"/>
                      <w:lang w:eastAsia="zh-CN"/>
                    </w:rPr>
                    <w:t>☑</w:t>
                  </w:r>
                  <w:r>
                    <w:rPr>
                      <w:rFonts w:hint="eastAsia"/>
                    </w:rPr>
                    <w:t xml:space="preserve">竞争 □市场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□政治 □监管  □财务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□知识 □绩效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rPr>
                    <w:t>□活动、产品和服务 □战略方向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确定了与相关管理体系有关的相关方及需求和希望；监视和评审了相关方的相关信息。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重要的相关方</w:t>
                  </w:r>
                </w:p>
              </w:tc>
              <w:tc>
                <w:tcPr>
                  <w:tcW w:w="6912" w:type="dxa"/>
                </w:tcPr>
                <w:p>
                  <w:pPr>
                    <w:shd w:val="clear" w:color="auto" w:fill="EBF1DE" w:themeFill="accent3"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 xml:space="preserve">遵守相关的法律法规、节能减排；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组织明确相关能源管理体系的范围；（详见第一条款审核范围）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为实现组织的预期结果，包括提高其能源绩效，组织根据本标准的要求建立、实施、保持并持续改进能源管理体系，包括所需的过程及其相互作用。 </w:t>
            </w:r>
          </w:p>
          <w:p>
            <w:pPr>
              <w:shd w:val="clear" w:color="auto" w:fill="EBF1DE" w:themeFill="accent3" w:themeFillTint="32"/>
              <w:spacing w:before="40" w:after="40"/>
            </w:pPr>
            <w:r>
              <w:rPr>
                <w:rFonts w:hint="eastAsia"/>
              </w:rPr>
              <w:t>已将能源管理体系要求融入到其各项业务过程中，包括：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 xml:space="preserve">人力资源□营销和市场  </w:t>
            </w:r>
            <w:r>
              <w:rPr>
                <w:rFonts w:hint="eastAsia"/>
                <w:lang w:eastAsia="zh-CN"/>
              </w:rPr>
              <w:t>☑</w:t>
            </w:r>
            <w:r>
              <w:rPr>
                <w:rFonts w:hint="eastAsia"/>
              </w:rPr>
              <w:t xml:space="preserve">生产 □检验 </w:t>
            </w:r>
            <w:r>
              <w:rPr>
                <w:rFonts w:hint="eastAsia"/>
                <w:lang w:eastAsia="zh-CN"/>
              </w:rPr>
              <w:t>☑</w:t>
            </w:r>
            <w:r>
              <w:rPr>
                <w:rFonts w:hint="eastAsia"/>
              </w:rPr>
              <w:t xml:space="preserve">设备管理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□满足限额要求 </w:t>
            </w:r>
            <w:r>
              <w:rPr>
                <w:rFonts w:hint="eastAsia"/>
                <w:lang w:eastAsia="zh-CN"/>
              </w:rPr>
              <w:t>☑</w:t>
            </w:r>
            <w:r>
              <w:rPr>
                <w:rFonts w:hint="eastAsia"/>
              </w:rPr>
              <w:t>主要用能设备管理  □能耗测量</w:t>
            </w:r>
          </w:p>
          <w:p>
            <w:pPr>
              <w:shd w:val="clear" w:color="auto" w:fill="EBF1DE" w:themeFill="accent3" w:themeFillTint="32"/>
              <w:spacing w:before="40" w:after="40"/>
            </w:pPr>
            <w:r>
              <w:rPr>
                <w:rFonts w:hint="eastAsia"/>
                <w:lang w:eastAsia="zh-CN"/>
              </w:rPr>
              <w:t>☑</w:t>
            </w:r>
            <w:r>
              <w:rPr>
                <w:rFonts w:hint="eastAsia"/>
              </w:rPr>
              <w:t>节能评估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□生产/服务过程 □能效监测 □设备维修 □人员培训 □其他</w:t>
            </w:r>
          </w:p>
          <w:p>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风险机遇的应对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最高管理者制定了文件化的管理体系方针：</w:t>
            </w:r>
            <w:r>
              <w:rPr>
                <w:rFonts w:hint="eastAsia"/>
                <w:u w:val="single"/>
              </w:rPr>
              <w:t xml:space="preserve">遵守法规  清洁生产  创新改造  提高能效 </w:t>
            </w:r>
          </w:p>
          <w:p>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 xml:space="preserve">EnMS的主管部门是——□能源管理团队 </w:t>
            </w:r>
            <w:r>
              <w:rPr>
                <w:rFonts w:hint="eastAsia"/>
                <w:lang w:eastAsia="zh-CN"/>
              </w:rPr>
              <w:t>☑</w:t>
            </w:r>
            <w:r>
              <w:rPr>
                <w:rFonts w:hint="eastAsia"/>
              </w:rPr>
              <w:t>质量管理部</w:t>
            </w:r>
          </w:p>
          <w:p>
            <w:pPr>
              <w:shd w:val="clear" w:color="auto" w:fill="EBF1DE" w:themeFill="accent3" w:themeFillTint="32"/>
            </w:pPr>
            <w:r>
              <w:rPr>
                <w:rFonts w:hint="eastAsia"/>
              </w:rPr>
              <w:t>能源管理团队负责人（管理者代表）是——高志强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在策划能源管理体系时，组织确定了需要应对的风险和机遇及应对这些风险和机遇的措施；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行业、行情变化</w:t>
                  </w:r>
                </w:p>
              </w:tc>
              <w:tc>
                <w:tcPr>
                  <w:tcW w:w="3965" w:type="dxa"/>
                </w:tcPr>
                <w:p>
                  <w:pPr>
                    <w:shd w:val="clear" w:color="auto" w:fill="EBF1DE" w:themeFill="accent3" w:themeFillTint="32"/>
                  </w:pPr>
                  <w:r>
                    <w:rPr>
                      <w:rFonts w:hint="eastAsia"/>
                    </w:rPr>
                    <w:t>及时了解行业行情变化，报告公司组织集体讨论对策。</w:t>
                  </w:r>
                </w:p>
              </w:tc>
              <w:tc>
                <w:tcPr>
                  <w:tcW w:w="1717" w:type="dxa"/>
                </w:tcPr>
                <w:p>
                  <w:pPr>
                    <w:shd w:val="clear" w:color="auto" w:fill="EBF1DE" w:themeFill="accent3" w:themeFillTint="32"/>
                  </w:pPr>
                  <w:r>
                    <w:rPr>
                      <w:rFonts w:hint="eastAsia"/>
                    </w:rPr>
                    <w:t>措施有效、可行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企业核心竞争力</w:t>
                  </w:r>
                </w:p>
              </w:tc>
              <w:tc>
                <w:tcPr>
                  <w:tcW w:w="3965" w:type="dxa"/>
                </w:tcPr>
                <w:p>
                  <w:pPr>
                    <w:shd w:val="clear" w:color="auto" w:fill="EBF1DE" w:themeFill="accent3" w:themeFillTint="32"/>
                  </w:pPr>
                  <w:r>
                    <w:rPr>
                      <w:rFonts w:hint="eastAsia"/>
                    </w:rPr>
                    <w:t>产品技术不断创新，产品品种适应市场变化，售后服务质量满足顾客要求。</w:t>
                  </w:r>
                </w:p>
              </w:tc>
              <w:tc>
                <w:tcPr>
                  <w:tcW w:w="1717" w:type="dxa"/>
                </w:tcPr>
                <w:p>
                  <w:pPr>
                    <w:shd w:val="clear" w:color="auto" w:fill="EBF1DE" w:themeFill="accent3" w:themeFillTint="32"/>
                  </w:pPr>
                  <w:r>
                    <w:rPr>
                      <w:rFonts w:hint="eastAsia"/>
                    </w:rPr>
                    <w:t>措施有效、可行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人员能力不足</w:t>
                  </w:r>
                </w:p>
              </w:tc>
              <w:tc>
                <w:tcPr>
                  <w:tcW w:w="3965" w:type="dxa"/>
                </w:tcPr>
                <w:p>
                  <w:pPr>
                    <w:shd w:val="clear" w:color="auto" w:fill="EBF1DE" w:themeFill="accent3" w:themeFillTint="32"/>
                  </w:pPr>
                  <w:r>
                    <w:rPr>
                      <w:rFonts w:hint="eastAsia"/>
                    </w:rPr>
                    <w:t>加强培训，定期举行技能考核，促进能力提升。</w:t>
                  </w:r>
                </w:p>
              </w:tc>
              <w:tc>
                <w:tcPr>
                  <w:tcW w:w="1717" w:type="dxa"/>
                </w:tcPr>
                <w:p>
                  <w:pPr>
                    <w:shd w:val="clear" w:color="auto" w:fill="EBF1DE" w:themeFill="accent3" w:themeFillTint="32"/>
                  </w:pPr>
                  <w:r>
                    <w:rPr>
                      <w:rFonts w:hint="eastAsia"/>
                    </w:rPr>
                    <w:t>措施有效、可行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企业盈利能力风险</w:t>
                  </w:r>
                </w:p>
              </w:tc>
              <w:tc>
                <w:tcPr>
                  <w:tcW w:w="3965" w:type="dxa"/>
                </w:tcPr>
                <w:p>
                  <w:pPr>
                    <w:shd w:val="clear" w:color="auto" w:fill="EBF1DE" w:themeFill="accent3" w:themeFillTint="32"/>
                  </w:pPr>
                  <w:r>
                    <w:rPr>
                      <w:rFonts w:hint="eastAsia"/>
                    </w:rPr>
                    <w:t>控制成本、减低费用、加强企业内部管理，提高劳动效率；降低库存，提高资产利用率；及时清理拖欠货款。</w:t>
                  </w:r>
                </w:p>
              </w:tc>
              <w:tc>
                <w:tcPr>
                  <w:tcW w:w="1717" w:type="dxa"/>
                </w:tcPr>
                <w:p>
                  <w:pPr>
                    <w:shd w:val="clear" w:color="auto" w:fill="EBF1DE" w:themeFill="accent3" w:themeFillTint="32"/>
                  </w:pPr>
                  <w:r>
                    <w:rPr>
                      <w:rFonts w:hint="eastAsia"/>
                    </w:rPr>
                    <w:t>措施有效、可行</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组织对控制或影响的所有活动、产品和服务考虑了节能降耗的影响；</w:t>
            </w:r>
          </w:p>
          <w:p>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pPr>
            <w:r>
              <w:rPr>
                <w:rFonts w:hint="eastAsia"/>
              </w:rPr>
              <w:t>针对每个主要能源使用：1)确定相关变量；2）确定当前能源绩效；3）识别在其控制下，对主要能源使用具有影响的相关人员；</w:t>
            </w:r>
          </w:p>
          <w:p>
            <w:pPr>
              <w:shd w:val="clear" w:color="auto" w:fill="EBF1DE" w:themeFill="accent3" w:themeFillTint="32"/>
            </w:pPr>
            <w:r>
              <w:rPr>
                <w:rFonts w:hint="eastAsia"/>
              </w:rPr>
              <w:t>确定改进能源绩效的机会并进行排序；</w:t>
            </w:r>
          </w:p>
          <w:p>
            <w:pPr>
              <w:shd w:val="clear" w:color="auto" w:fill="EBF1DE" w:themeFill="accent3" w:themeFillTint="32"/>
            </w:pPr>
            <w:r>
              <w:rPr>
                <w:rFonts w:hint="eastAsia"/>
              </w:rPr>
              <w:t>评估未来的能源使用和能源消耗。</w:t>
            </w:r>
          </w:p>
          <w:p>
            <w:pPr>
              <w:shd w:val="clear" w:color="auto" w:fill="EBF1DE" w:themeFill="accent3" w:themeFillTint="32"/>
            </w:pPr>
            <w:r>
              <w:rPr>
                <w:rFonts w:hint="eastAsia"/>
              </w:rPr>
              <w:t>当设施、设备、系统或能源使用过程发生显著变化时，应进行能源评审。</w:t>
            </w:r>
          </w:p>
          <w:p>
            <w:pPr>
              <w:shd w:val="clear" w:color="auto" w:fill="EBF1DE" w:themeFill="accent3" w:themeFillTint="32"/>
            </w:pPr>
            <w:r>
              <w:rPr>
                <w:rFonts w:hint="eastAsia"/>
              </w:rPr>
              <w:t>制定了用于建立能源评审的方法和准则的文件化信息，保留能源评审结果的文件化信息。</w:t>
            </w:r>
          </w:p>
          <w:p>
            <w:pPr>
              <w:shd w:val="clear" w:color="auto" w:fill="EBF1DE" w:themeFill="accent3" w:themeFillTint="32"/>
              <w:rPr>
                <w:b/>
                <w:bCs/>
              </w:rPr>
            </w:pPr>
          </w:p>
          <w:p>
            <w:pPr>
              <w:shd w:val="clear" w:color="auto" w:fill="EBF1DE" w:themeFill="accent3" w:themeFillTint="32"/>
            </w:pPr>
            <w:r>
              <w:rPr>
                <w:rFonts w:hint="eastAsia"/>
              </w:rPr>
              <w:t>主要能源使用包括(必要时，按每个场所来描述):（不必全选）</w:t>
            </w:r>
          </w:p>
          <w:p>
            <w:pPr>
              <w:shd w:val="clear" w:color="auto" w:fill="EBF1DE" w:themeFill="accent3" w:themeFillTint="32"/>
              <w:spacing w:before="40" w:after="40"/>
            </w:pPr>
            <w:r>
              <w:rPr>
                <w:rFonts w:hint="eastAsia"/>
              </w:rPr>
              <w:t xml:space="preserve">□蒸汽 </w:t>
            </w:r>
            <w:r>
              <w:rPr>
                <w:rFonts w:hint="eastAsia"/>
                <w:lang w:eastAsia="zh-CN"/>
              </w:rPr>
              <w:t>☑</w:t>
            </w:r>
            <w:r>
              <w:rPr>
                <w:rFonts w:hint="eastAsia"/>
              </w:rPr>
              <w:t>天然气 □燃料油  □燃料气</w:t>
            </w:r>
            <w:r>
              <w:rPr>
                <w:rFonts w:hint="eastAsia"/>
                <w:lang w:val="en-US" w:eastAsia="zh-CN"/>
              </w:rPr>
              <w:t xml:space="preserve"> </w:t>
            </w:r>
            <w:r>
              <w:rPr>
                <w:rFonts w:hint="eastAsia"/>
                <w:lang w:eastAsia="zh-CN"/>
              </w:rPr>
              <w:t>☑</w:t>
            </w:r>
            <w:r>
              <w:rPr>
                <w:rFonts w:hint="eastAsia"/>
              </w:rPr>
              <w:t xml:space="preserve">电力  □氮气 □风  </w:t>
            </w:r>
            <w:r>
              <w:rPr>
                <w:rFonts w:hint="eastAsia"/>
                <w:lang w:eastAsia="zh-CN"/>
              </w:rPr>
              <w:t>☑</w:t>
            </w:r>
            <w:r>
              <w:rPr>
                <w:rFonts w:hint="eastAsia"/>
              </w:rPr>
              <w:t>新鲜水 □各种品质水</w:t>
            </w:r>
          </w:p>
          <w:p>
            <w:pPr>
              <w:jc w:val="left"/>
            </w:pPr>
            <w:r>
              <w:rPr>
                <w:rFonts w:hint="eastAsia"/>
              </w:rPr>
              <w:t>□其他</w:t>
            </w:r>
          </w:p>
          <w:p>
            <w:pPr>
              <w:jc w:val="left"/>
            </w:pPr>
          </w:p>
          <w:p>
            <w:pPr>
              <w:jc w:val="left"/>
              <w:rPr>
                <w:rFonts w:asciiTheme="majorEastAsia" w:hAnsiTheme="majorEastAsia" w:eastAsiaTheme="majorEastAsia"/>
              </w:rPr>
            </w:pPr>
            <w:r>
              <w:rPr>
                <w:rFonts w:hint="eastAsia" w:asciiTheme="majorEastAsia" w:hAnsiTheme="majorEastAsia" w:eastAsiaTheme="majorEastAsia"/>
              </w:rPr>
              <w:t>组织应确定能源绩效参数，这些能源绩效参数应：</w:t>
            </w:r>
          </w:p>
          <w:p>
            <w:pPr>
              <w:jc w:val="left"/>
              <w:rPr>
                <w:rFonts w:asciiTheme="majorEastAsia" w:hAnsiTheme="majorEastAsia" w:eastAsiaTheme="majorEastAsia"/>
              </w:rPr>
            </w:pPr>
            <w:r>
              <w:rPr>
                <w:rFonts w:hint="eastAsia" w:asciiTheme="majorEastAsia" w:hAnsiTheme="majorEastAsia" w:eastAsiaTheme="majorEastAsia"/>
              </w:rPr>
              <w:t>1）与监视和测量能源绩效相适宜；2）使组织能够证实其能源绩效的改进。</w:t>
            </w:r>
          </w:p>
          <w:p>
            <w:pPr>
              <w:jc w:val="left"/>
              <w:rPr>
                <w:rFonts w:asciiTheme="majorEastAsia" w:hAnsiTheme="majorEastAsia" w:eastAsiaTheme="majorEastAsia"/>
              </w:rPr>
            </w:pPr>
            <w:r>
              <w:rPr>
                <w:rFonts w:hint="eastAsia" w:asciiTheme="majorEastAsia" w:hAnsiTheme="majorEastAsia" w:eastAsiaTheme="majorEastAsia"/>
              </w:rPr>
              <w:t>确定和更新能源绩效参数的方法应保持文件化信息。</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当有数据显示相关变量显著影响能源绩效时，应考虑这些数据以建立适当的能源绩效参数。</w:t>
            </w:r>
          </w:p>
          <w:p>
            <w:pPr>
              <w:jc w:val="left"/>
              <w:rPr>
                <w:rFonts w:asciiTheme="majorEastAsia" w:hAnsiTheme="majorEastAsia" w:eastAsiaTheme="majorEastAsia"/>
              </w:rPr>
            </w:pPr>
            <w:r>
              <w:rPr>
                <w:rFonts w:hint="eastAsia" w:asciiTheme="majorEastAsia" w:hAnsiTheme="majorEastAsia" w:eastAsiaTheme="majorEastAsia"/>
              </w:rPr>
              <w:t>组织应评审其能源绩效参数值，并与相应的能源基准进行比较。组织应保留能源绩效参数值的文件化信息。</w:t>
            </w:r>
          </w:p>
          <w:p>
            <w:pPr>
              <w:jc w:val="left"/>
            </w:pPr>
            <w:r>
              <w:rPr>
                <w:rFonts w:hint="eastAsia" w:asciiTheme="majorEastAsia" w:hAnsiTheme="majorEastAsia" w:eastAsiaTheme="majorEastAsia"/>
              </w:rPr>
              <w:t>能源绩效参数包括但不限于：</w:t>
            </w:r>
            <w:r>
              <w:rPr>
                <w:rFonts w:hint="eastAsia" w:eastAsiaTheme="majorEastAsia"/>
                <w:lang w:eastAsia="zh-CN"/>
              </w:rPr>
              <w:t>☑</w:t>
            </w:r>
            <w:r>
              <w:rPr>
                <w:rFonts w:hint="eastAsia"/>
              </w:rPr>
              <w:t xml:space="preserve">单位产品综合能耗 </w:t>
            </w:r>
            <w:r>
              <w:rPr>
                <w:rFonts w:hint="eastAsia"/>
                <w:lang w:eastAsia="zh-CN"/>
              </w:rPr>
              <w:t>☑</w:t>
            </w:r>
            <w:r>
              <w:rPr>
                <w:rFonts w:hint="eastAsia"/>
              </w:rPr>
              <w:t xml:space="preserve">能源消费总量 □单位产品蒸汽消耗  □单位产品燃料气消耗 □加热炉热效率 □其他  </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 xml:space="preserve">使用能源评审的信息，并考虑适合的时间段，建立能源基准。 </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当有数据显示相关变量显著影响能源绩效时，组织应对能源绩效参数和相应的能源基准进行归一化。</w:t>
            </w:r>
          </w:p>
          <w:p>
            <w:pPr>
              <w:jc w:val="left"/>
              <w:rPr>
                <w:rFonts w:asciiTheme="majorEastAsia" w:hAnsiTheme="majorEastAsia" w:eastAsiaTheme="majorEastAsia"/>
              </w:rPr>
            </w:pPr>
            <w:r>
              <w:rPr>
                <w:rFonts w:hint="eastAsia" w:asciiTheme="majorEastAsia" w:hAnsiTheme="majorEastAsia" w:eastAsiaTheme="majorEastAsia"/>
              </w:rPr>
              <w:t xml:space="preserve">根据企业活动的性质，归一化可以是简单的调整，或者是更加复杂的过程。 </w:t>
            </w:r>
          </w:p>
          <w:p>
            <w:pPr>
              <w:jc w:val="left"/>
              <w:rPr>
                <w:rFonts w:asciiTheme="majorEastAsia" w:hAnsiTheme="majorEastAsia" w:eastAsiaTheme="majorEastAsia"/>
              </w:rPr>
            </w:pPr>
            <w:r>
              <w:rPr>
                <w:rFonts w:hint="eastAsia" w:asciiTheme="majorEastAsia" w:hAnsiTheme="majorEastAsia" w:eastAsiaTheme="majorEastAsia"/>
              </w:rPr>
              <w:t xml:space="preserve">当出现以下一种或多种情况时，应对能源基准进行调整： </w:t>
            </w:r>
          </w:p>
          <w:p>
            <w:pPr>
              <w:jc w:val="left"/>
              <w:rPr>
                <w:rFonts w:asciiTheme="majorEastAsia" w:hAnsiTheme="majorEastAsia" w:eastAsiaTheme="majorEastAsia"/>
              </w:rPr>
            </w:pPr>
            <w:r>
              <w:rPr>
                <w:rFonts w:hint="eastAsia" w:asciiTheme="majorEastAsia" w:hAnsiTheme="majorEastAsia" w:eastAsiaTheme="majorEastAsia"/>
              </w:rPr>
              <w:t xml:space="preserve">a）能源绩效参数不再能够反映组织的能源绩效时； </w:t>
            </w:r>
          </w:p>
          <w:p>
            <w:pPr>
              <w:jc w:val="left"/>
              <w:rPr>
                <w:rFonts w:asciiTheme="majorEastAsia" w:hAnsiTheme="majorEastAsia" w:eastAsiaTheme="majorEastAsia"/>
              </w:rPr>
            </w:pPr>
            <w:r>
              <w:rPr>
                <w:rFonts w:hint="eastAsia" w:asciiTheme="majorEastAsia" w:hAnsiTheme="majorEastAsia" w:eastAsiaTheme="majorEastAsia"/>
              </w:rPr>
              <w:t>b）静态因素发生重大变化时；</w:t>
            </w:r>
          </w:p>
          <w:p>
            <w:pPr>
              <w:jc w:val="left"/>
              <w:rPr>
                <w:rFonts w:asciiTheme="majorEastAsia" w:hAnsiTheme="majorEastAsia" w:eastAsiaTheme="majorEastAsia"/>
              </w:rPr>
            </w:pPr>
            <w:r>
              <w:rPr>
                <w:rFonts w:hint="eastAsia" w:asciiTheme="majorEastAsia" w:hAnsiTheme="majorEastAsia" w:eastAsiaTheme="majorEastAsia"/>
              </w:rPr>
              <w:t>c）其他预先规定的情况。</w:t>
            </w:r>
          </w:p>
          <w:p>
            <w:pPr>
              <w:jc w:val="left"/>
              <w:rPr>
                <w:rFonts w:asciiTheme="majorEastAsia" w:hAnsiTheme="majorEastAsia" w:eastAsiaTheme="majorEastAsia"/>
              </w:rPr>
            </w:pPr>
            <w:r>
              <w:rPr>
                <w:rFonts w:hint="eastAsia" w:asciiTheme="majorEastAsia" w:hAnsiTheme="majorEastAsia" w:eastAsiaTheme="majorEastAsia"/>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组织应制定和实施能源数据收集计划，确保运行中的影响能源绩效的关键特性在规定的时间间隔内进行识别、监视、测 量和分析。</w:t>
            </w:r>
          </w:p>
          <w:p>
            <w:pPr>
              <w:jc w:val="left"/>
              <w:rPr>
                <w:rFonts w:asciiTheme="majorEastAsia" w:hAnsiTheme="majorEastAsia" w:eastAsiaTheme="majorEastAsia"/>
              </w:rPr>
            </w:pPr>
            <w:r>
              <w:rPr>
                <w:rFonts w:hint="eastAsia" w:asciiTheme="majorEastAsia" w:hAnsiTheme="majorEastAsia" w:eastAsiaTheme="majorEastAsia"/>
              </w:rPr>
              <w:t>能源数据收集计划应与企业的规模、复杂程度、资源及监视和测量设备相适应。计划应明确监视关键特性必要的数据，且应明确以何种方式、何种频次对数据进行收集和保留。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rPr>
            </w:pPr>
            <w:r>
              <w:rPr>
                <w:rFonts w:hint="eastAsia" w:asciiTheme="majorEastAsia" w:hAnsiTheme="majorEastAsia" w:eastAsiaTheme="majorEastAsia"/>
              </w:rPr>
              <w:t>所收集数据（或适用时通过测量获取）和保留的文件化信息。应包括：</w:t>
            </w:r>
          </w:p>
          <w:p>
            <w:pPr>
              <w:jc w:val="left"/>
              <w:rPr>
                <w:rFonts w:asciiTheme="majorEastAsia" w:hAnsiTheme="majorEastAsia" w:eastAsiaTheme="majorEastAsia"/>
              </w:rPr>
            </w:pPr>
            <w:r>
              <w:rPr>
                <w:rFonts w:hint="eastAsia" w:asciiTheme="majorEastAsia" w:hAnsiTheme="majorEastAsia" w:eastAsiaTheme="majorEastAsia"/>
              </w:rPr>
              <w:t>a）主要能源使用的相关变量；</w:t>
            </w:r>
          </w:p>
          <w:p>
            <w:pPr>
              <w:jc w:val="left"/>
              <w:rPr>
                <w:rFonts w:asciiTheme="majorEastAsia" w:hAnsiTheme="majorEastAsia" w:eastAsiaTheme="majorEastAsia"/>
              </w:rPr>
            </w:pPr>
            <w:r>
              <w:rPr>
                <w:rFonts w:hint="eastAsia" w:asciiTheme="majorEastAsia" w:hAnsiTheme="majorEastAsia" w:eastAsiaTheme="majorEastAsia"/>
              </w:rPr>
              <w:t xml:space="preserve">b）与主要能源使用和组织相关的能源消耗； </w:t>
            </w:r>
          </w:p>
          <w:p>
            <w:pPr>
              <w:jc w:val="left"/>
              <w:rPr>
                <w:rFonts w:asciiTheme="majorEastAsia" w:hAnsiTheme="majorEastAsia" w:eastAsiaTheme="majorEastAsia"/>
              </w:rPr>
            </w:pPr>
            <w:r>
              <w:rPr>
                <w:rFonts w:hint="eastAsia" w:asciiTheme="majorEastAsia" w:hAnsiTheme="majorEastAsia" w:eastAsiaTheme="majorEastAsia"/>
              </w:rPr>
              <w:t xml:space="preserve">c）与主要能源使用相关的运行准则； </w:t>
            </w:r>
          </w:p>
          <w:p>
            <w:pPr>
              <w:jc w:val="left"/>
              <w:rPr>
                <w:rFonts w:asciiTheme="majorEastAsia" w:hAnsiTheme="majorEastAsia" w:eastAsiaTheme="majorEastAsia"/>
              </w:rPr>
            </w:pPr>
            <w:r>
              <w:rPr>
                <w:rFonts w:hint="eastAsia" w:asciiTheme="majorEastAsia" w:hAnsiTheme="majorEastAsia" w:eastAsiaTheme="majorEastAsia"/>
              </w:rPr>
              <w:t xml:space="preserve">d）适用时，静态因素； </w:t>
            </w:r>
          </w:p>
          <w:p>
            <w:pPr>
              <w:jc w:val="left"/>
              <w:rPr>
                <w:rFonts w:asciiTheme="majorEastAsia" w:hAnsiTheme="majorEastAsia" w:eastAsiaTheme="majorEastAsia"/>
              </w:rPr>
            </w:pPr>
            <w:r>
              <w:rPr>
                <w:rFonts w:hint="eastAsia" w:asciiTheme="majorEastAsia" w:hAnsiTheme="majorEastAsia" w:eastAsiaTheme="majorEastAsia"/>
              </w:rPr>
              <w:t>e）实施方案中特定的数据。</w:t>
            </w:r>
          </w:p>
          <w:p>
            <w:pPr>
              <w:jc w:val="left"/>
              <w:rPr>
                <w:rFonts w:asciiTheme="majorEastAsia" w:hAnsiTheme="majorEastAsia" w:eastAsiaTheme="majorEastAsia"/>
              </w:rPr>
            </w:pPr>
            <w:r>
              <w:rPr>
                <w:rFonts w:hint="eastAsia" w:asciiTheme="majorEastAsia" w:hAnsiTheme="majorEastAsia" w:eastAsiaTheme="majorEastAsia"/>
              </w:rPr>
              <w:t xml:space="preserve">能源数据收集计划应按规定的时间间隔进行评审，并在适用时更新。 </w:t>
            </w:r>
          </w:p>
          <w:p>
            <w:pPr>
              <w:jc w:val="left"/>
              <w:rPr>
                <w:rFonts w:asciiTheme="majorEastAsia" w:hAnsiTheme="majorEastAsia" w:eastAsiaTheme="majorEastAsia"/>
              </w:rPr>
            </w:pPr>
            <w:r>
              <w:rPr>
                <w:rFonts w:hint="eastAsia" w:asciiTheme="majorEastAsia" w:hAnsiTheme="majorEastAsia" w:eastAsiaTheme="majorEastAsia"/>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组织定期确定并获取了与其能源管理有关的文件化的合规义务； 将这些合规义务应用于组织； 在建立、实施、保持和持续改进其能源管理体系时必须考虑这些合规义务。</w:t>
            </w:r>
          </w:p>
          <w:p>
            <w:pPr>
              <w:shd w:val="clear" w:color="auto" w:fill="EBF1DE" w:themeFill="accent3" w:themeFillTint="32"/>
            </w:pPr>
            <w:r>
              <w:rPr>
                <w:rFonts w:hint="eastAsia"/>
              </w:rPr>
              <w:t>组织提供了下列许可和授权(必要时，按每个场所来描述):</w:t>
            </w:r>
          </w:p>
          <w:p>
            <w:pPr>
              <w:shd w:val="clear" w:color="auto" w:fill="EBF1DE" w:themeFill="accent3" w:themeFillTint="32"/>
            </w:pPr>
            <w:r>
              <w:rPr>
                <w:rFonts w:hint="eastAsia"/>
              </w:rPr>
              <w:t xml:space="preserve">□节能评估报告编号/日期：                   </w:t>
            </w:r>
          </w:p>
          <w:p>
            <w:pPr>
              <w:shd w:val="clear" w:color="auto" w:fill="EBF1DE" w:themeFill="accent3" w:themeFillTint="32"/>
            </w:pPr>
            <w:r>
              <w:rPr>
                <w:rFonts w:hint="eastAsia"/>
              </w:rPr>
              <w:t xml:space="preserve">□能源评审报告编号/日期： </w:t>
            </w:r>
          </w:p>
          <w:p>
            <w:pPr>
              <w:shd w:val="clear" w:color="auto" w:fill="EBF1DE" w:themeFill="accent3" w:themeFillTint="32"/>
            </w:pPr>
            <w:r>
              <w:rPr>
                <w:rFonts w:hint="eastAsia"/>
              </w:rPr>
              <w:t xml:space="preserve">□节能项目验收报告编号/日期： </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组织策划并采取措施管理其能源评审、合规义务和识别的风险和机遇； </w:t>
            </w:r>
          </w:p>
          <w:p>
            <w:pPr>
              <w:shd w:val="clear" w:color="auto" w:fill="EBF1DE" w:themeFill="accent3" w:themeFillTint="32"/>
            </w:pPr>
            <w:r>
              <w:rPr>
                <w:rFonts w:hint="eastAsia"/>
              </w:rPr>
              <w:t xml:space="preserve">□限额标准  </w:t>
            </w:r>
            <w:r>
              <w:rPr>
                <w:rFonts w:hint="eastAsia"/>
                <w:lang w:eastAsia="zh-CN"/>
              </w:rPr>
              <w:t>☑</w:t>
            </w:r>
            <w:r>
              <w:rPr>
                <w:rFonts w:hint="eastAsia"/>
              </w:rPr>
              <w:t xml:space="preserve">能源计量管理  </w:t>
            </w:r>
            <w:r>
              <w:rPr>
                <w:rFonts w:hint="eastAsia"/>
                <w:lang w:eastAsia="zh-CN"/>
              </w:rPr>
              <w:t>☑</w:t>
            </w:r>
            <w:r>
              <w:rPr>
                <w:rFonts w:hint="eastAsia"/>
              </w:rPr>
              <w:t xml:space="preserve">使用节能设备  □主要耗能设备识别及能效测试 </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pPr>
              <w:shd w:val="clear" w:color="auto" w:fill="EBF1DE" w:themeFill="accent3" w:themeFillTint="32"/>
            </w:pPr>
            <w:r>
              <w:rPr>
                <w:rFonts w:hint="eastAsia"/>
              </w:rPr>
              <w:t>节能目标实现情况的评价，及其控制措施是：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节能目标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default" w:eastAsia="宋体"/>
                      <w:lang w:val="en-US" w:eastAsia="zh-CN"/>
                    </w:rPr>
                  </w:pPr>
                  <w:r>
                    <w:rPr>
                      <w:rFonts w:hint="eastAsia" w:ascii="宋体" w:hAnsi="宋体" w:eastAsia="宋体" w:cs="宋体"/>
                      <w:lang w:val="en-US" w:eastAsia="zh-CN"/>
                    </w:rPr>
                    <w:t>≦</w:t>
                  </w:r>
                  <w:r>
                    <w:rPr>
                      <w:rFonts w:hint="eastAsia"/>
                      <w:lang w:val="en-US" w:eastAsia="zh-CN"/>
                    </w:rPr>
                    <w:t>1.20kgce/kg</w:t>
                  </w:r>
                </w:p>
              </w:tc>
              <w:tc>
                <w:tcPr>
                  <w:tcW w:w="3136"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加强能耗控制，节约能源</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质量管理部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1.31kgce/kg</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ascii="Wingdings" w:hAnsi="Wingdings"/>
                <w:lang w:eastAsia="zh-CN"/>
              </w:rPr>
              <w:t>☑</w:t>
            </w:r>
            <w:r>
              <w:rPr>
                <w:rFonts w:hint="eastAsia"/>
              </w:rPr>
              <w:t>组织现有内部资源的能力可满足能源管理体系运行；</w:t>
            </w:r>
          </w:p>
          <w:p>
            <w:pPr>
              <w:shd w:val="clear" w:color="auto" w:fill="EBF1DE" w:themeFill="accent3" w:themeFillTint="32"/>
            </w:pPr>
            <w:r>
              <w:rPr>
                <w:rFonts w:hint="eastAsia"/>
              </w:rPr>
              <w:t>□组织现有内部资源的能力可基本满足能源管理体系运行，但是还有不足需要补充：</w:t>
            </w:r>
            <w:r>
              <w:rPr>
                <w:rFonts w:hint="eastAsia"/>
                <w:u w:val="single"/>
              </w:rPr>
              <w:t xml:space="preserve">      </w:t>
            </w:r>
          </w:p>
          <w:p>
            <w:pPr>
              <w:shd w:val="clear" w:color="auto" w:fill="EBF1DE" w:themeFill="accent3" w:themeFillTint="32"/>
            </w:pPr>
            <w:r>
              <w:rPr>
                <w:rFonts w:hint="eastAsia"/>
              </w:rPr>
              <w:t>□组织现有内部资源的能力完全不能满足能源管理体系运行，需要从外部供方获得：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ascii="Wingdings" w:hAnsi="Wingdings"/>
                <w:lang w:eastAsia="zh-CN"/>
              </w:rPr>
              <w:t>☑</w:t>
            </w:r>
            <w:r>
              <w:rPr>
                <w:rFonts w:hint="eastAsia"/>
              </w:rPr>
              <w:t>组织现有人力资源的能力可满足能源管理体系运行；</w:t>
            </w:r>
          </w:p>
          <w:p>
            <w:pPr>
              <w:shd w:val="clear" w:color="auto" w:fill="EBF1DE" w:themeFill="accent3" w:themeFillTint="32"/>
            </w:pPr>
            <w:r>
              <w:rPr>
                <w:rFonts w:hint="eastAsia"/>
              </w:rPr>
              <w:t>□组织现有人力资源的能力可基本能源管理体系运行，但是还有不足需要补充：</w:t>
            </w:r>
            <w:r>
              <w:rPr>
                <w:rFonts w:hint="eastAsia"/>
                <w:u w:val="single"/>
              </w:rPr>
              <w:t xml:space="preserve">      </w:t>
            </w:r>
          </w:p>
          <w:p>
            <w:pPr>
              <w:shd w:val="clear" w:color="auto" w:fill="EBF1DE" w:themeFill="accent3" w:themeFillTint="32"/>
            </w:pPr>
            <w:r>
              <w:rPr>
                <w:rFonts w:hint="eastAsia"/>
              </w:rPr>
              <w:t>□组织现有人力资源的能力完全不能满足能源管理体系运行，需要从外部供方获得：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154771.88  </w:t>
            </w:r>
            <w:r>
              <w:rPr>
                <w:rFonts w:hint="eastAsia"/>
              </w:rPr>
              <w:t>平方米；生产车间</w:t>
            </w:r>
            <w:r>
              <w:rPr>
                <w:rFonts w:hint="eastAsia"/>
                <w:u w:val="single"/>
              </w:rPr>
              <w:t xml:space="preserve">  6 </w:t>
            </w:r>
            <w:r>
              <w:rPr>
                <w:rFonts w:hint="eastAsia"/>
              </w:rPr>
              <w:t>个；库房</w:t>
            </w:r>
            <w:r>
              <w:rPr>
                <w:rFonts w:hint="eastAsia"/>
                <w:u w:val="single"/>
              </w:rPr>
              <w:t xml:space="preserve">  5  </w:t>
            </w:r>
            <w:r>
              <w:rPr>
                <w:rFonts w:hint="eastAsia"/>
              </w:rPr>
              <w:t>个；实验室</w:t>
            </w:r>
            <w:r>
              <w:rPr>
                <w:rFonts w:hint="eastAsia"/>
                <w:u w:val="single"/>
              </w:rPr>
              <w:t xml:space="preserve"> 6  </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 xml:space="preserve">  大转炉、还原炉、等静压、中频炉、拉丝机（列举2~4种）</w:t>
            </w:r>
          </w:p>
          <w:p>
            <w:pPr>
              <w:shd w:val="clear" w:color="auto" w:fill="EBF1DE" w:themeFill="accent3" w:themeFillTint="32"/>
              <w:rPr>
                <w:u w:val="single"/>
              </w:rPr>
            </w:pPr>
            <w:r>
              <w:rPr>
                <w:rFonts w:hint="eastAsia"/>
              </w:rPr>
              <w:t>主要耗能设备有：</w:t>
            </w:r>
            <w:r>
              <w:rPr>
                <w:rFonts w:hint="eastAsia"/>
                <w:u w:val="single"/>
              </w:rPr>
              <w:t xml:space="preserve">   大转炉、还原炉、中频炉 （列举2~4种）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 xml:space="preserve">叉车 </w:t>
            </w:r>
            <w:r>
              <w:rPr>
                <w:rFonts w:ascii="Wingdings" w:hAnsi="Wingdings"/>
              </w:rPr>
              <w:t>□</w:t>
            </w:r>
            <w:r>
              <w:rPr>
                <w:rFonts w:hint="eastAsia"/>
              </w:rPr>
              <w:t xml:space="preserve">行车 </w:t>
            </w:r>
            <w:r>
              <w:rPr>
                <w:rFonts w:ascii="Wingdings" w:hAnsi="Wingdings"/>
              </w:rPr>
              <w:t>□</w:t>
            </w:r>
            <w:r>
              <w:rPr>
                <w:rFonts w:hint="eastAsia"/>
              </w:rPr>
              <w:t xml:space="preserve">锅炉 </w:t>
            </w:r>
            <w:r>
              <w:rPr>
                <w:rFonts w:ascii="Wingdings" w:hAnsi="Wingdings"/>
              </w:rPr>
              <w:t>□</w:t>
            </w:r>
            <w:r>
              <w:rPr>
                <w:rFonts w:hint="eastAsia"/>
              </w:rPr>
              <w:t xml:space="preserve">电梯 </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ascii="Wingdings" w:hAnsi="Wingdings"/>
              </w:rPr>
              <w:t>□</w:t>
            </w:r>
            <w:r>
              <w:rPr>
                <w:rFonts w:hint="eastAsia"/>
              </w:rPr>
              <w:t xml:space="preserve">空压站 </w:t>
            </w:r>
            <w:r>
              <w:rPr>
                <w:rFonts w:ascii="Wingdings" w:hAnsi="Wingdings"/>
              </w:rPr>
              <w:t>□</w:t>
            </w:r>
            <w:r>
              <w:rPr>
                <w:rFonts w:hint="eastAsia"/>
              </w:rPr>
              <w:t xml:space="preserve">锅炉房 </w:t>
            </w:r>
            <w:r>
              <w:rPr>
                <w:rFonts w:hint="eastAsia" w:ascii="Wingdings" w:hAnsi="Wingdings"/>
                <w:lang w:eastAsia="zh-CN"/>
              </w:rPr>
              <w:t>☑</w:t>
            </w:r>
            <w:r>
              <w:rPr>
                <w:rFonts w:hint="eastAsia"/>
              </w:rPr>
              <w:t xml:space="preserve">食堂  </w:t>
            </w:r>
            <w:r>
              <w:rPr>
                <w:rFonts w:ascii="Wingdings" w:hAnsi="Wingdings"/>
              </w:rPr>
              <w:t>□</w:t>
            </w:r>
            <w:r>
              <w:rPr>
                <w:rFonts w:hint="eastAsia"/>
              </w:rPr>
              <w:t>其他</w:t>
            </w:r>
          </w:p>
          <w:p>
            <w:pPr>
              <w:shd w:val="clear" w:color="auto" w:fill="EBF1DE" w:themeFill="accent3" w:themeFillTint="32"/>
            </w:pPr>
            <w:r>
              <w:rPr>
                <w:rFonts w:hint="eastAsia"/>
                <w:lang w:eastAsia="zh-CN"/>
              </w:rPr>
              <w:t>☑</w:t>
            </w:r>
            <w:r>
              <w:rPr>
                <w:rFonts w:hint="eastAsia"/>
              </w:rPr>
              <w:t>组织现有基础设施可满足能源管理体系运行；</w:t>
            </w:r>
          </w:p>
          <w:p>
            <w:pPr>
              <w:shd w:val="clear" w:color="auto" w:fill="EBF1DE" w:themeFill="accent3" w:themeFillTint="32"/>
            </w:pPr>
            <w:r>
              <w:rPr>
                <w:rFonts w:hint="eastAsia"/>
              </w:rPr>
              <w:t>□组织现有基础设施可基本满足能源管理体系运行，但是还有不足需要补充：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□组织现有基础设施完全不能满足能源管理体系运行，需要从外部供方获得：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计量器具的测量溯源方法：  </w:t>
            </w:r>
            <w:r>
              <w:rPr>
                <w:rFonts w:ascii="Wingdings" w:hAnsi="Wingdings"/>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能源计量器具有：</w:t>
            </w:r>
            <w:r>
              <w:rPr>
                <w:rFonts w:hint="eastAsia"/>
                <w:u w:val="single"/>
              </w:rPr>
              <w:t xml:space="preserve"> 三相四线电子式多费率电能表、气体涡轮流量计、冷水水表等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ascii="Wingdings" w:hAnsi="Wingdings"/>
              </w:rPr>
              <w:t>□</w:t>
            </w:r>
            <w:r>
              <w:rPr>
                <w:rFonts w:hint="eastAsia"/>
              </w:rPr>
              <w:t>其他</w:t>
            </w:r>
          </w:p>
          <w:p>
            <w:pPr>
              <w:shd w:val="clear" w:color="auto" w:fill="EBF1DE" w:themeFill="accent3" w:themeFillTint="32"/>
            </w:pPr>
            <w:r>
              <w:rPr>
                <w:rFonts w:hint="eastAsia"/>
              </w:rPr>
              <w:t xml:space="preserve">对国家规定持证上岗的人员资质进行了有效的管理。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ascii="Wingdings" w:hAnsi="Wingdings"/>
              </w:rPr>
              <w:t>□</w:t>
            </w:r>
            <w:r>
              <w:rPr>
                <w:rFonts w:hint="eastAsia"/>
              </w:rPr>
              <w:t xml:space="preserve">局域网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组织已确定与能源管理体系相关的信息沟通。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组织已建立了文件化的能源管理体系。对自编文件的编制、审批、发放、变更和作废进行了控制。 </w:t>
            </w:r>
            <w:r>
              <w:rPr>
                <w:rFonts w:hint="eastAsia" w:ascii="Wingdings" w:hAnsi="Wingdings"/>
                <w:lang w:eastAsia="zh-CN"/>
              </w:rPr>
              <w:t>☑</w:t>
            </w:r>
            <w:r>
              <w:rPr>
                <w:rFonts w:hint="eastAsia"/>
              </w:rPr>
              <w:t xml:space="preserve">体系文件受控 </w:t>
            </w:r>
            <w:r>
              <w:rPr>
                <w:rFonts w:ascii="Wingdings" w:hAnsi="Wingdings"/>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对节能相关的外来文件（法律法规、产品标准）进行了识别和贯彻。</w:t>
            </w:r>
          </w:p>
          <w:p>
            <w:pPr>
              <w:shd w:val="clear" w:color="auto" w:fill="EBF1DE" w:themeFill="accent3" w:themeFillTint="32"/>
            </w:pPr>
            <w:r>
              <w:rPr>
                <w:rFonts w:hint="eastAsia" w:ascii="Wingdings" w:hAnsi="Wingdings"/>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组织为满足节能管理的要求，已对用能过程建立了相应的运行准则；按照运行准则实施过程控制。策划文件包括：</w:t>
            </w:r>
          </w:p>
          <w:p>
            <w:pPr>
              <w:shd w:val="clear" w:color="auto" w:fill="EBF1DE" w:themeFill="accent3" w:themeFillTint="32"/>
            </w:pPr>
            <w:r>
              <w:rPr>
                <w:rFonts w:hint="eastAsia"/>
                <w:color w:val="auto"/>
              </w:rPr>
              <w:t xml:space="preserve"> </w:t>
            </w:r>
            <w:r>
              <w:rPr>
                <w:rFonts w:hint="eastAsia" w:ascii="Wingdings" w:hAnsi="Wingdings"/>
                <w:lang w:eastAsia="zh-CN"/>
              </w:rPr>
              <w:t>☑</w:t>
            </w:r>
            <w:r>
              <w:rPr>
                <w:rFonts w:hint="eastAsia"/>
                <w:color w:val="auto"/>
              </w:rPr>
              <w:t xml:space="preserve">操作规程 </w:t>
            </w:r>
            <w:r>
              <w:rPr>
                <w:rFonts w:hint="eastAsia" w:ascii="Wingdings" w:hAnsi="Wingdings"/>
                <w:lang w:eastAsia="zh-CN"/>
              </w:rPr>
              <w:t>☑</w:t>
            </w:r>
            <w:r>
              <w:rPr>
                <w:rFonts w:hint="eastAsia"/>
                <w:color w:val="auto"/>
              </w:rPr>
              <w:t xml:space="preserve">作业文件  </w:t>
            </w:r>
            <w:r>
              <w:rPr>
                <w:rFonts w:hint="eastAsia" w:ascii="Wingdings" w:hAnsi="Wingdings"/>
                <w:lang w:eastAsia="zh-CN"/>
              </w:rPr>
              <w:t>☑</w:t>
            </w:r>
            <w:r>
              <w:rPr>
                <w:rFonts w:hint="eastAsia"/>
                <w:color w:val="auto"/>
              </w:rPr>
              <w:t xml:space="preserve">工艺卡片   </w:t>
            </w:r>
            <w:r>
              <w:rPr>
                <w:rFonts w:hint="eastAsia" w:ascii="Wingdings" w:hAnsi="Wingdings"/>
                <w:lang w:eastAsia="zh-CN"/>
              </w:rPr>
              <w:t>☑</w:t>
            </w:r>
            <w:r>
              <w:rPr>
                <w:rFonts w:hint="eastAsia"/>
                <w:color w:val="auto"/>
              </w:rPr>
              <w:t xml:space="preserve">接收准则  </w:t>
            </w:r>
            <w:r>
              <w:rPr>
                <w:rFonts w:hint="eastAsia" w:ascii="Wingdings" w:hAnsi="Wingdings"/>
                <w:lang w:eastAsia="zh-CN"/>
              </w:rPr>
              <w:t>☑</w:t>
            </w:r>
            <w:r>
              <w:rPr>
                <w:rFonts w:hint="eastAsia"/>
                <w:color w:val="auto"/>
              </w:rPr>
              <w:t xml:space="preserve">工艺流程图  </w:t>
            </w:r>
            <w:r>
              <w:rPr>
                <w:rFonts w:ascii="Wingdings" w:hAnsi="Wingdings"/>
                <w:color w:val="auto"/>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pPr>
              <w:shd w:val="clear" w:color="auto" w:fill="EBF1DE" w:themeFill="accent3" w:themeFillTint="32"/>
            </w:pPr>
            <w:r>
              <w:rPr>
                <w:rFonts w:hint="eastAsia"/>
              </w:rPr>
              <w:t>审核期间内，设计和开发新产品/项目名称：</w:t>
            </w:r>
            <w:r>
              <w:rPr>
                <w:rFonts w:hint="eastAsia"/>
                <w:u w:val="single"/>
              </w:rPr>
              <w:t>**合金的设计开发（因保密要求不能提供具体材料名称）    （</w:t>
            </w:r>
            <w:r>
              <w:rPr>
                <w:rFonts w:hint="eastAsia"/>
              </w:rPr>
              <w:t>举1例）</w:t>
            </w:r>
          </w:p>
          <w:p>
            <w:pPr>
              <w:shd w:val="clear" w:color="auto" w:fill="EBF1DE" w:themeFill="accent3" w:themeFillTint="32"/>
            </w:pPr>
            <w:r>
              <w:rPr>
                <w:rFonts w:hint="eastAsia"/>
              </w:rPr>
              <w:t>对该设计和开发的项目进行了节能评估，并制订了相应的控制措施。</w:t>
            </w:r>
          </w:p>
          <w:p>
            <w:pPr>
              <w:shd w:val="clear" w:color="auto" w:fill="EBF1DE" w:themeFill="accent3" w:themeFillTint="32"/>
            </w:pPr>
            <w:r>
              <w:rPr>
                <w:rFonts w:hint="eastAsia"/>
              </w:rPr>
              <w:t>设计和开发的节能措施控制：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组织对外部提供的过程、产品和服务的供方按照政府对节能的影响程度实施控制。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 xml:space="preserve">能源采购 </w:t>
            </w:r>
            <w:r>
              <w:rPr>
                <w:rFonts w:hint="eastAsia" w:ascii="Wingdings" w:hAnsi="Wingdings"/>
                <w:lang w:eastAsia="zh-CN"/>
              </w:rPr>
              <w:t>☑</w:t>
            </w:r>
            <w:r>
              <w:rPr>
                <w:rFonts w:hint="eastAsia"/>
              </w:rPr>
              <w:t xml:space="preserve">主要用能设备采购  </w:t>
            </w:r>
            <w:r>
              <w:rPr>
                <w:rFonts w:hint="eastAsia" w:ascii="Wingdings" w:hAnsi="Wingdings"/>
                <w:lang w:eastAsia="zh-CN"/>
              </w:rPr>
              <w:t>☑</w:t>
            </w:r>
            <w:r>
              <w:rPr>
                <w:rFonts w:hint="eastAsia"/>
              </w:rPr>
              <w:t xml:space="preserve">淘汰落后设备更新 </w:t>
            </w:r>
            <w:r>
              <w:rPr>
                <w:rFonts w:hint="eastAsia" w:ascii="Wingdings" w:hAnsi="Wingdings"/>
                <w:lang w:eastAsia="zh-CN"/>
              </w:rPr>
              <w:t>☑</w:t>
            </w:r>
            <w:r>
              <w:rPr>
                <w:rFonts w:hint="eastAsia"/>
              </w:rPr>
              <w:t xml:space="preserve">能源计量器具采购   </w:t>
            </w:r>
            <w:r>
              <w:rPr>
                <w:rFonts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现场检查    </w:t>
            </w:r>
            <w:r>
              <w:rPr>
                <w:rFonts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企业主要能源消耗控制情况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主要能源使用</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蒸汽消耗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天然气消耗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充分燃烧、杜绝跑冒滴漏。</w:t>
                  </w:r>
                </w:p>
              </w:tc>
              <w:tc>
                <w:tcPr>
                  <w:tcW w:w="3265" w:type="dxa"/>
                </w:tcPr>
                <w:p>
                  <w:pPr>
                    <w:shd w:val="clear" w:color="auto" w:fill="EBF1DE" w:themeFill="accent3" w:themeFillTint="32"/>
                    <w:jc w:val="left"/>
                    <w:rPr>
                      <w:rFonts w:hint="eastAsia" w:eastAsia="宋体"/>
                      <w:lang w:val="en-US" w:eastAsia="zh-CN"/>
                    </w:rPr>
                  </w:pPr>
                  <w:r>
                    <w:rPr>
                      <w:rFonts w:hint="eastAsia"/>
                    </w:rPr>
                    <w:t>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电的消耗</w:t>
                  </w:r>
                </w:p>
              </w:tc>
              <w:tc>
                <w:tcPr>
                  <w:tcW w:w="3665" w:type="dxa"/>
                </w:tcPr>
                <w:p>
                  <w:pPr>
                    <w:shd w:val="clear" w:color="auto" w:fill="EBF1DE" w:themeFill="accent3" w:themeFillTint="32"/>
                    <w:jc w:val="left"/>
                  </w:pPr>
                  <w:r>
                    <w:rPr>
                      <w:rFonts w:hint="eastAsia"/>
                      <w:lang w:val="en-US" w:eastAsia="zh-CN"/>
                    </w:rPr>
                    <w:t>加强用电管理，利用电的谷峰进行生产，保证能耗设备的正常运转。</w:t>
                  </w:r>
                </w:p>
              </w:tc>
              <w:tc>
                <w:tcPr>
                  <w:tcW w:w="3265" w:type="dxa"/>
                </w:tcPr>
                <w:p>
                  <w:pPr>
                    <w:shd w:val="clear" w:color="auto" w:fill="EBF1DE" w:themeFill="accent3" w:themeFillTint="32"/>
                    <w:jc w:val="left"/>
                  </w:pPr>
                  <w:r>
                    <w:rPr>
                      <w:rFonts w:hint="eastAsia"/>
                    </w:rPr>
                    <w:t>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燃料气</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对生产和服务提供过程的节能改进措施控制</w:t>
            </w:r>
            <w:r>
              <w:rPr>
                <w:rFonts w:hint="eastAsia" w:ascii="Wingdings" w:hAnsi="Wingdings"/>
                <w:lang w:eastAsia="zh-CN"/>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组织对生产和服务提供的有预期和非预期的更改进行必要的节能效果评审和制订控制措施，以确保持续地符合法规要求。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 xml:space="preserve">节能技术的实施 </w:t>
            </w:r>
            <w:r>
              <w:rPr>
                <w:rFonts w:hint="eastAsia" w:ascii="Wingdings" w:hAnsi="Wingdings"/>
                <w:lang w:eastAsia="zh-CN"/>
              </w:rPr>
              <w:t>☑</w:t>
            </w:r>
            <w:r>
              <w:rPr>
                <w:rFonts w:hint="eastAsia"/>
              </w:rPr>
              <w:t xml:space="preserve">节能设备的更新 </w:t>
            </w:r>
            <w:r>
              <w:rPr>
                <w:rFonts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组织识别了潜在紧急情况及应急准备时所带来的能源消耗影响；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ascii="Wingdings" w:hAnsi="Wingdings"/>
              </w:rPr>
              <w:t>□</w:t>
            </w:r>
            <w:r>
              <w:rPr>
                <w:rFonts w:hint="eastAsia"/>
              </w:rPr>
              <w:t>定期（每年） ：</w:t>
            </w:r>
            <w:r>
              <w:rPr>
                <w:rFonts w:hint="eastAsia"/>
                <w:u w:val="single"/>
              </w:rPr>
              <w:t xml:space="preserve">2021  </w:t>
            </w:r>
            <w:r>
              <w:rPr>
                <w:rFonts w:hint="eastAsia"/>
              </w:rPr>
              <w:t>年</w:t>
            </w:r>
            <w:r>
              <w:rPr>
                <w:rFonts w:hint="eastAsia"/>
                <w:u w:val="single"/>
              </w:rPr>
              <w:t xml:space="preserve"> 2  </w:t>
            </w:r>
            <w:r>
              <w:rPr>
                <w:rFonts w:hint="eastAsia"/>
              </w:rPr>
              <w:t>月</w:t>
            </w:r>
            <w:r>
              <w:rPr>
                <w:rFonts w:hint="eastAsia"/>
                <w:u w:val="single"/>
              </w:rPr>
              <w:t xml:space="preserve"> 10  </w:t>
            </w:r>
            <w:r>
              <w:rPr>
                <w:rFonts w:hint="eastAsia"/>
              </w:rPr>
              <w:t>日</w:t>
            </w:r>
          </w:p>
          <w:p>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组织在适当阶段实施策划的安排，以验证能源法律法规的要求已得到满足。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企业自测 </w:t>
            </w:r>
            <w:r>
              <w:rPr>
                <w:rFonts w:ascii="Wingdings" w:hAnsi="Wingdings"/>
              </w:rPr>
              <w:t>□</w:t>
            </w:r>
            <w:r>
              <w:rPr>
                <w:rFonts w:hint="eastAsia"/>
              </w:rPr>
              <w:t xml:space="preserve">第三方监测  </w:t>
            </w:r>
            <w:r>
              <w:rPr>
                <w:rFonts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《能效测试报告》编号：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7</w:t>
            </w:r>
            <w:r>
              <w:rPr>
                <w:rFonts w:hint="eastAsia"/>
              </w:rPr>
              <w:t>月</w:t>
            </w:r>
            <w:r>
              <w:rPr>
                <w:rFonts w:hint="eastAsia"/>
                <w:u w:val="single"/>
              </w:rPr>
              <w:t xml:space="preserve"> 20 </w:t>
            </w:r>
            <w:r>
              <w:rPr>
                <w:rFonts w:hint="eastAsia"/>
              </w:rPr>
              <w:t>日实施了能源管理体系内部审核，对能源管理体系的符合性和有效性进行了审核。内审发现的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2021</w:t>
            </w:r>
            <w:r>
              <w:rPr>
                <w:rFonts w:hint="eastAsia"/>
              </w:rPr>
              <w:t>年</w:t>
            </w:r>
            <w:r>
              <w:rPr>
                <w:rFonts w:hint="eastAsia"/>
                <w:u w:val="single"/>
              </w:rPr>
              <w:t xml:space="preserve"> 7</w:t>
            </w:r>
            <w:r>
              <w:rPr>
                <w:rFonts w:hint="eastAsia"/>
              </w:rPr>
              <w:t>月</w:t>
            </w:r>
            <w:r>
              <w:rPr>
                <w:rFonts w:hint="eastAsia"/>
                <w:u w:val="single"/>
              </w:rPr>
              <w:t xml:space="preserve"> 30</w:t>
            </w:r>
            <w:r>
              <w:rPr>
                <w:rFonts w:hint="eastAsia"/>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组织针对能源管理体系运行中的不符合采取了有效纠正和纠正措施。针对下列方面采取了纠正措施：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自我检查的结果  </w:t>
            </w:r>
            <w:r>
              <w:rPr>
                <w:rFonts w:hint="eastAsia" w:ascii="Wingdings" w:hAnsi="Wingdings"/>
                <w:lang w:eastAsia="zh-CN"/>
              </w:rPr>
              <w:t>☑</w:t>
            </w:r>
            <w:r>
              <w:rPr>
                <w:rFonts w:hint="eastAsia"/>
              </w:rPr>
              <w:t xml:space="preserve">主管部门要求整改 </w:t>
            </w:r>
          </w:p>
          <w:p>
            <w:pPr>
              <w:shd w:val="clear" w:color="auto" w:fill="EBF1DE" w:themeFill="accent3" w:themeFillTint="32"/>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组织持续改进了能源管理体系的适宜性、充分性与有效性，以提升能源绩效。</w:t>
            </w:r>
          </w:p>
        </w:tc>
      </w:tr>
    </w:tbl>
    <w:p>
      <w:pPr>
        <w:shd w:val="clear" w:color="auto" w:fill="EBF1DE" w:themeFill="accent3"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t>1</w:t>
            </w:r>
          </w:p>
        </w:tc>
        <w:tc>
          <w:tcPr>
            <w:tcW w:w="780" w:type="dxa"/>
            <w:shd w:val="clear" w:color="auto" w:fill="EBF1DE" w:themeFill="accent3" w:themeFillTint="32"/>
            <w:vAlign w:val="center"/>
          </w:tcPr>
          <w:p>
            <w:pPr>
              <w:shd w:val="clear" w:color="auto" w:fill="EBF1DE" w:themeFill="accent3" w:themeFillTint="32"/>
              <w:rPr>
                <w:lang w:eastAsia="ja-JP"/>
              </w:rPr>
            </w:pPr>
            <w:r>
              <w:t>1</w:t>
            </w:r>
          </w:p>
        </w:tc>
        <w:tc>
          <w:tcPr>
            <w:tcW w:w="780" w:type="dxa"/>
            <w:shd w:val="clear" w:color="auto" w:fill="EBF1DE" w:themeFill="accent3" w:themeFillTint="32"/>
            <w:vAlign w:val="center"/>
          </w:tcPr>
          <w:p>
            <w:pPr>
              <w:shd w:val="clear" w:color="auto" w:fill="EBF1DE" w:themeFill="accent3" w:themeFillTint="32"/>
              <w:rPr>
                <w:lang w:eastAsia="ja-JP"/>
              </w:rPr>
            </w:pPr>
            <w:r>
              <w:t>1</w:t>
            </w:r>
          </w:p>
        </w:tc>
        <w:tc>
          <w:tcPr>
            <w:tcW w:w="779" w:type="dxa"/>
            <w:shd w:val="clear" w:color="auto" w:fill="EBF1DE" w:themeFill="accent3" w:themeFillTint="32"/>
            <w:vAlign w:val="center"/>
          </w:tcPr>
          <w:p>
            <w:pPr>
              <w:shd w:val="clear" w:color="auto" w:fill="EBF1DE" w:themeFill="accent3" w:themeFillTint="32"/>
              <w:rPr>
                <w:lang w:eastAsia="ja-JP"/>
              </w:rPr>
            </w:pPr>
            <w:r>
              <w:t>1</w:t>
            </w:r>
          </w:p>
        </w:tc>
        <w:tc>
          <w:tcPr>
            <w:tcW w:w="780" w:type="dxa"/>
            <w:shd w:val="clear" w:color="auto" w:fill="EBF1DE" w:themeFill="accent3" w:themeFillTint="32"/>
            <w:vAlign w:val="center"/>
          </w:tcPr>
          <w:p>
            <w:pPr>
              <w:shd w:val="clear" w:color="auto" w:fill="EBF1DE" w:themeFill="accent3" w:themeFillTint="32"/>
              <w:rPr>
                <w:lang w:eastAsia="ja-JP"/>
              </w:rPr>
            </w:pPr>
            <w:r>
              <w:t>1</w:t>
            </w:r>
          </w:p>
        </w:tc>
        <w:tc>
          <w:tcPr>
            <w:tcW w:w="779" w:type="dxa"/>
            <w:shd w:val="clear" w:color="auto" w:fill="EBF1DE" w:themeFill="accent3" w:themeFillTint="32"/>
            <w:vAlign w:val="center"/>
          </w:tcPr>
          <w:p>
            <w:pPr>
              <w:shd w:val="clear" w:color="auto" w:fill="EBF1DE" w:themeFill="accent3" w:themeFillTint="32"/>
              <w:rPr>
                <w:lang w:eastAsia="ja-JP"/>
              </w:rPr>
            </w:pPr>
            <w:r>
              <w:t>1</w:t>
            </w:r>
          </w:p>
        </w:tc>
        <w:tc>
          <w:tcPr>
            <w:tcW w:w="780" w:type="dxa"/>
            <w:shd w:val="clear" w:color="auto" w:fill="EBF1DE" w:themeFill="accent3" w:themeFillTint="32"/>
            <w:vAlign w:val="center"/>
          </w:tcPr>
          <w:p>
            <w:pPr>
              <w:shd w:val="clear" w:color="auto" w:fill="EBF1DE" w:themeFill="accent3" w:themeFillTint="32"/>
              <w:rPr>
                <w:lang w:eastAsia="ja-JP"/>
              </w:rPr>
            </w:pPr>
            <w:r>
              <w:t>1</w:t>
            </w:r>
          </w:p>
        </w:tc>
        <w:tc>
          <w:tcPr>
            <w:tcW w:w="780" w:type="dxa"/>
            <w:shd w:val="clear" w:color="auto" w:fill="EBF1DE" w:themeFill="accent3" w:themeFillTint="32"/>
            <w:vAlign w:val="center"/>
          </w:tcPr>
          <w:p>
            <w:pPr>
              <w:shd w:val="clear" w:color="auto" w:fill="EBF1DE" w:themeFill="accent3" w:themeFillTint="32"/>
              <w:rPr>
                <w:lang w:eastAsia="ja-JP"/>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pPr>
              <w:shd w:val="clear" w:color="auto" w:fill="EBF1DE" w:themeFill="accent3" w:themeFillTint="32"/>
            </w:pPr>
            <w:r>
              <w:rPr>
                <w:rFonts w:hint="eastAsia"/>
              </w:rPr>
              <w:t>7.2</w:t>
            </w:r>
          </w:p>
        </w:tc>
        <w:tc>
          <w:tcPr>
            <w:tcW w:w="779" w:type="dxa"/>
            <w:shd w:val="clear" w:color="auto" w:fill="EBF1DE" w:themeFill="accent3" w:themeFillTint="32"/>
            <w:vAlign w:val="center"/>
          </w:tcPr>
          <w:p>
            <w:pPr>
              <w:shd w:val="clear" w:color="auto" w:fill="EBF1DE" w:themeFill="accent3" w:themeFillTint="32"/>
            </w:pPr>
            <w:r>
              <w:rPr>
                <w:rFonts w:hint="eastAsia"/>
              </w:rPr>
              <w:t>7.3</w:t>
            </w:r>
          </w:p>
        </w:tc>
        <w:tc>
          <w:tcPr>
            <w:tcW w:w="780" w:type="dxa"/>
            <w:shd w:val="clear" w:color="auto" w:fill="EBF1DE" w:themeFill="accent3" w:themeFillTint="32"/>
            <w:vAlign w:val="center"/>
          </w:tcPr>
          <w:p>
            <w:pPr>
              <w:shd w:val="clear" w:color="auto" w:fill="EBF1DE" w:themeFill="accent3" w:themeFillTint="32"/>
            </w:pPr>
            <w:r>
              <w:rPr>
                <w:rFonts w:hint="eastAsia"/>
              </w:rPr>
              <w:t>7.4</w:t>
            </w:r>
          </w:p>
        </w:tc>
        <w:tc>
          <w:tcPr>
            <w:tcW w:w="779" w:type="dxa"/>
            <w:shd w:val="clear" w:color="auto" w:fill="EBF1DE" w:themeFill="accent3" w:themeFillTint="32"/>
            <w:vAlign w:val="center"/>
          </w:tcPr>
          <w:p>
            <w:pPr>
              <w:shd w:val="clear" w:color="auto" w:fill="EBF1DE" w:themeFill="accent3" w:themeFillTint="32"/>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t>1</w:t>
            </w:r>
          </w:p>
        </w:tc>
        <w:tc>
          <w:tcPr>
            <w:tcW w:w="780" w:type="dxa"/>
            <w:shd w:val="clear" w:color="auto" w:fill="EBF1DE" w:themeFill="accent3" w:themeFillTint="32"/>
          </w:tcPr>
          <w:p>
            <w:pPr>
              <w:shd w:val="clear" w:color="auto" w:fill="EBF1DE" w:themeFill="accent3" w:themeFillTint="32"/>
              <w:rPr>
                <w:lang w:eastAsia="ja-JP"/>
              </w:rPr>
            </w:pPr>
            <w:r>
              <w:t>1</w:t>
            </w:r>
          </w:p>
        </w:tc>
        <w:tc>
          <w:tcPr>
            <w:tcW w:w="779" w:type="dxa"/>
            <w:shd w:val="clear" w:color="auto" w:fill="EBF1DE" w:themeFill="accent3" w:themeFillTint="32"/>
            <w:vAlign w:val="center"/>
          </w:tcPr>
          <w:p>
            <w:pPr>
              <w:shd w:val="clear" w:color="auto" w:fill="EBF1DE" w:themeFill="accent3" w:themeFillTint="32"/>
              <w:rPr>
                <w:lang w:eastAsia="ja-JP"/>
              </w:rPr>
            </w:pPr>
            <w:r>
              <w:t>1</w:t>
            </w:r>
          </w:p>
        </w:tc>
        <w:tc>
          <w:tcPr>
            <w:tcW w:w="780" w:type="dxa"/>
            <w:shd w:val="clear" w:color="auto" w:fill="EBF1DE" w:themeFill="accent3" w:themeFillTint="32"/>
            <w:vAlign w:val="center"/>
          </w:tcPr>
          <w:p>
            <w:pPr>
              <w:shd w:val="clear" w:color="auto" w:fill="EBF1DE" w:themeFill="accent3" w:themeFillTint="32"/>
              <w:rPr>
                <w:lang w:eastAsia="ja-JP"/>
              </w:rPr>
            </w:pPr>
            <w: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lang w:eastAsia="ja-JP"/>
              </w:rPr>
            </w:pPr>
            <w:r>
              <w:t>1</w:t>
            </w:r>
          </w:p>
        </w:tc>
        <w:tc>
          <w:tcPr>
            <w:tcW w:w="780" w:type="dxa"/>
            <w:shd w:val="clear" w:color="auto" w:fill="EBF1DE" w:themeFill="accent3" w:themeFillTint="32"/>
            <w:vAlign w:val="center"/>
          </w:tcPr>
          <w:p>
            <w:pPr>
              <w:shd w:val="clear" w:color="auto" w:fill="EBF1DE" w:themeFill="accent3" w:themeFillTint="32"/>
              <w:rPr>
                <w:lang w:eastAsia="ja-JP"/>
              </w:rPr>
            </w:pPr>
            <w:r>
              <w:t>1</w:t>
            </w:r>
          </w:p>
        </w:tc>
        <w:tc>
          <w:tcPr>
            <w:tcW w:w="779" w:type="dxa"/>
            <w:shd w:val="clear" w:color="auto" w:fill="EBF1DE" w:themeFill="accent3" w:themeFillTint="32"/>
            <w:vAlign w:val="center"/>
          </w:tcPr>
          <w:p>
            <w:pPr>
              <w:shd w:val="clear" w:color="auto" w:fill="EBF1DE" w:themeFill="accent3" w:themeFillTint="32"/>
              <w:rPr>
                <w:lang w:eastAsia="ja-JP"/>
              </w:rPr>
            </w:pPr>
            <w:r>
              <w:t>1</w:t>
            </w:r>
          </w:p>
        </w:tc>
        <w:tc>
          <w:tcPr>
            <w:tcW w:w="780" w:type="dxa"/>
            <w:shd w:val="clear" w:color="auto" w:fill="EBF1DE" w:themeFill="accent3" w:themeFillTint="32"/>
            <w:vAlign w:val="center"/>
          </w:tcPr>
          <w:p>
            <w:pPr>
              <w:shd w:val="clear" w:color="auto" w:fill="EBF1DE" w:themeFill="accent3" w:themeFillTint="32"/>
              <w:rPr>
                <w:lang w:eastAsia="ja-JP"/>
              </w:rPr>
            </w:pPr>
            <w:r>
              <w:t>1</w:t>
            </w:r>
          </w:p>
        </w:tc>
        <w:tc>
          <w:tcPr>
            <w:tcW w:w="780" w:type="dxa"/>
            <w:shd w:val="clear" w:color="auto" w:fill="EBF1DE" w:themeFill="accent3" w:themeFillTint="32"/>
            <w:vAlign w:val="center"/>
          </w:tcPr>
          <w:p>
            <w:pPr>
              <w:shd w:val="clear" w:color="auto" w:fill="EBF1DE" w:themeFill="accent3" w:themeFillTint="32"/>
              <w:rPr>
                <w:lang w:eastAsia="ja-JP"/>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pPr>
            <w:r>
              <w:rPr>
                <w:rFonts w:hint="eastAsia"/>
              </w:rPr>
              <w:t>8.3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rPr>
              <w:t>10</w:t>
            </w:r>
            <w:r>
              <w:rPr>
                <w:rFonts w:hint="eastAsia"/>
                <w:lang w:eastAsia="zh-CN"/>
              </w:rPr>
              <w:t>.</w:t>
            </w: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lang w:val="en-US" w:eastAsia="ja-JP"/>
              </w:rPr>
            </w:pPr>
            <w:r>
              <w:rPr>
                <w:rFonts w:hint="eastAsia"/>
              </w:rPr>
              <w:t>10</w:t>
            </w:r>
            <w:r>
              <w:rPr>
                <w:rFonts w:hint="eastAsia"/>
                <w:lang w:eastAsia="zh-CN"/>
              </w:rPr>
              <w:t>.</w:t>
            </w:r>
            <w:r>
              <w:rPr>
                <w:rFonts w:hint="eastAsia"/>
                <w:lang w:val="en-US" w:eastAsia="zh-CN"/>
              </w:rPr>
              <w:t>2</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t>1</w:t>
            </w:r>
          </w:p>
        </w:tc>
        <w:tc>
          <w:tcPr>
            <w:tcW w:w="780" w:type="dxa"/>
            <w:shd w:val="clear" w:color="auto" w:fill="EBF1DE" w:themeFill="accent3" w:themeFillTint="32"/>
          </w:tcPr>
          <w:p>
            <w:pPr>
              <w:shd w:val="clear" w:color="auto" w:fill="EBF1DE" w:themeFill="accent3" w:themeFillTint="32"/>
              <w:rPr>
                <w:lang w:eastAsia="ja-JP"/>
              </w:rPr>
            </w:pPr>
            <w:r>
              <w:t>1</w:t>
            </w:r>
          </w:p>
        </w:tc>
        <w:tc>
          <w:tcPr>
            <w:tcW w:w="779" w:type="dxa"/>
            <w:shd w:val="clear" w:color="auto" w:fill="EBF1DE" w:themeFill="accent3" w:themeFillTint="32"/>
            <w:vAlign w:val="center"/>
          </w:tcPr>
          <w:p>
            <w:pPr>
              <w:shd w:val="clear" w:color="auto" w:fill="EBF1DE" w:themeFill="accent3" w:themeFillTint="32"/>
              <w:rPr>
                <w:lang w:eastAsia="ja-JP"/>
              </w:rPr>
            </w:pPr>
            <w:r>
              <w:t>1</w:t>
            </w:r>
          </w:p>
        </w:tc>
        <w:tc>
          <w:tcPr>
            <w:tcW w:w="780" w:type="dxa"/>
            <w:shd w:val="clear" w:color="auto" w:fill="EBF1DE" w:themeFill="accent3" w:themeFillTint="32"/>
            <w:vAlign w:val="center"/>
          </w:tcPr>
          <w:p>
            <w:pPr>
              <w:shd w:val="clear" w:color="auto" w:fill="EBF1DE" w:themeFill="accent3" w:themeFillTint="32"/>
              <w:rPr>
                <w:lang w:eastAsia="ja-JP"/>
              </w:rPr>
            </w:pPr>
            <w: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mc:AlternateContent>
        <mc:Choice Requires="wps">
          <w:drawing>
            <wp:anchor distT="0" distB="0" distL="114300" distR="114300" simplePos="0" relativeHeight="251659264" behindDoc="0" locked="0" layoutInCell="1" allowOverlap="1">
              <wp:simplePos x="0" y="0"/>
              <wp:positionH relativeFrom="column">
                <wp:posOffset>5071745</wp:posOffset>
              </wp:positionH>
              <wp:positionV relativeFrom="paragraph">
                <wp:posOffset>147320</wp:posOffset>
              </wp:positionV>
              <wp:extent cx="1322070" cy="256540"/>
              <wp:effectExtent l="4445" t="4445"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322070" cy="256540"/>
                      </a:xfrm>
                      <a:prstGeom prst="rect">
                        <a:avLst/>
                      </a:prstGeom>
                      <a:solidFill>
                        <a:srgbClr val="FFFFFF"/>
                      </a:solidFill>
                      <a:ln>
                        <a:noFill/>
                      </a:ln>
                    </wps:spPr>
                    <wps:txb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wps:txbx>
                    <wps:bodyPr rot="0" vert="horz" wrap="square" lIns="91440" tIns="45720" rIns="91440" bIns="45720" anchor="t" anchorCtr="0" upright="1">
                      <a:noAutofit/>
                    </wps:bodyPr>
                  </wps:wsp>
                </a:graphicData>
              </a:graphic>
            </wp:anchor>
          </w:drawing>
        </mc:Choice>
        <mc:Fallback>
          <w:pict>
            <v:shape id="Text Box 1" o:spid="_x0000_s1026" o:spt="202" type="#_x0000_t202" style="position:absolute;left:0pt;margin-left:399.35pt;margin-top:11.6pt;height:20.2pt;width:104.1pt;z-index:251659264;mso-width-relative:page;mso-height-relative:page;" fillcolor="#FFFFFF" filled="t" stroked="f" coordsize="21600,21600" o:gfxdata="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p32b/1wAAAAoBAAAP&#10;AAAAAAAAAAEAIAAAACIAAABkcnMvZG93bnJldi54bWxQSwECFAAUAAAACACHTuJAgL2s3BkCAAA9&#10;BAAADgAAAAAAAAABACAAAAAmAQAAZHJzL2Uyb0RvYy54bWxQSwUGAAAAAAYABgBZAQAAsQUAAAAA&#10;">
              <v:fill on="t" focussize="0,0"/>
              <v:stroke on="f"/>
              <v:imagedata o:title=""/>
              <o:lock v:ext="edit" aspectratio="f"/>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mc:Fallback>
      </mc:AlternateConten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741"/>
    <w:rsid w:val="00000C2D"/>
    <w:rsid w:val="00056245"/>
    <w:rsid w:val="000F4741"/>
    <w:rsid w:val="003E5E46"/>
    <w:rsid w:val="00517560"/>
    <w:rsid w:val="005175E2"/>
    <w:rsid w:val="005B7856"/>
    <w:rsid w:val="00760880"/>
    <w:rsid w:val="00894080"/>
    <w:rsid w:val="00AE5BFC"/>
    <w:rsid w:val="00B01358"/>
    <w:rsid w:val="00DD4039"/>
    <w:rsid w:val="00E120C6"/>
    <w:rsid w:val="0B626A99"/>
    <w:rsid w:val="1AE97067"/>
    <w:rsid w:val="275D266F"/>
    <w:rsid w:val="38503EC6"/>
    <w:rsid w:val="7B503675"/>
    <w:rsid w:val="7F292A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1"/>
    <w:pPr>
      <w:autoSpaceDE w:val="0"/>
      <w:autoSpaceDN w:val="0"/>
      <w:spacing w:before="92"/>
      <w:ind w:left="980" w:firstLine="480"/>
      <w:jc w:val="left"/>
    </w:pPr>
    <w:rPr>
      <w:rFonts w:ascii="宋体" w:hAnsi="宋体" w:cs="宋体"/>
      <w:kern w:val="0"/>
      <w:sz w:val="24"/>
      <w:szCs w:val="24"/>
      <w:lang w:val="zh-CN" w:bidi="zh-CN"/>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w:basedOn w:val="3"/>
    <w:semiHidden/>
    <w:unhideWhenUsed/>
    <w:qFormat/>
    <w:uiPriority w:val="99"/>
    <w:pPr>
      <w:autoSpaceDE/>
      <w:autoSpaceDN/>
      <w:spacing w:before="0" w:after="120"/>
      <w:ind w:left="0" w:firstLine="420" w:firstLineChars="100"/>
      <w:jc w:val="both"/>
    </w:pPr>
    <w:rPr>
      <w:rFonts w:ascii="Times New Roman" w:hAnsi="Times New Roman" w:cs="Times New Roman"/>
      <w:kern w:val="2"/>
      <w:sz w:val="21"/>
      <w:szCs w:val="20"/>
      <w:lang w:val="en-US" w:bidi="ar-SA"/>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6"/>
    <w:qFormat/>
    <w:uiPriority w:val="99"/>
    <w:rPr>
      <w:rFonts w:ascii="Times New Roman" w:hAnsi="Times New Roman" w:eastAsia="宋体" w:cs="Times New Roman"/>
      <w:sz w:val="18"/>
      <w:szCs w:val="18"/>
    </w:rPr>
  </w:style>
  <w:style w:type="character" w:customStyle="1" w:styleId="16">
    <w:name w:val="页脚 Char"/>
    <w:basedOn w:val="12"/>
    <w:link w:val="5"/>
    <w:qFormat/>
    <w:uiPriority w:val="99"/>
    <w:rPr>
      <w:rFonts w:ascii="Times New Roman" w:hAnsi="Times New Roman" w:eastAsia="宋体" w:cs="Times New Roman"/>
      <w:sz w:val="18"/>
      <w:szCs w:val="18"/>
    </w:rPr>
  </w:style>
  <w:style w:type="character" w:customStyle="1" w:styleId="17">
    <w:name w:val="批注框文本 Char"/>
    <w:basedOn w:val="12"/>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1681</Words>
  <Characters>9584</Characters>
  <Lines>79</Lines>
  <Paragraphs>22</Paragraphs>
  <TotalTime>0</TotalTime>
  <ScaleCrop>false</ScaleCrop>
  <LinksUpToDate>false</LinksUpToDate>
  <CharactersWithSpaces>11243</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2021-09-09T09:10:00Z</dcterms:created>
  <dc:creator>微软用户</dc:creator>
  <cp:lastModifiedBy>Lenovo</cp:lastModifiedBy>
  <cp:lastPrinted>2019-05-13T03:19:00Z</cp:lastPrinted>
  <dcterms:modified xsi:type="dcterms:W3CDTF">2021-09-14T14:33:14Z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2052-11.1.0.10667</vt:lpwstr>
  </property>
</Properties>
</file>