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4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88"/>
        <w:gridCol w:w="1242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b/>
                <w:sz w:val="20"/>
              </w:rPr>
              <w:t>成都虹波实业股份有限公司</w:t>
            </w:r>
            <w:bookmarkEnd w:id="6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2.2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2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 钼/钨的氧化物——经还原——钼/钨粉——经压制烧结——钼/钨金属烧结制品（包括钼/钨棒、钼/钨板、异形件、特种合金等）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钼/钨金属烧结制品可继续深加工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1钼/钨棒­——经加工——钼/钨杆——经加工——钼/钨丝——经复合——复合金属</w:t>
            </w:r>
          </w:p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2钼/钨板­——经加工——钼/钨箔­——经加工——钼/钨带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主要能源使用：电、天然气、水；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主要有参数：综合能耗kgce，单位产品综合能耗：kgce/kg。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《中华人民共和国节约能源法》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《中华人民共和国可再生能源法》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《中华人民共和国循环经济促进法》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《清洁生产促进法》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中华人民共和国水法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《中华人民共和国电力法》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中华人民共和国计量法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万家企业节能低碳行动实施方案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《中国节能技术政策大纲》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节能机电设备（产品）推荐目录（第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一~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七批）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能源计量监督管理办法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《节能监察办法》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《综合能耗计算通则》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用能单位能源计量器具配备和管理通则、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8" w:name="_GoBack"/>
            <w:bookmarkEnd w:id="8"/>
            <w:r>
              <w:rPr>
                <w:rFonts w:hint="eastAsia"/>
                <w:b/>
                <w:sz w:val="20"/>
                <w:lang w:val="en-US" w:eastAsia="zh-CN"/>
              </w:rPr>
              <w:t>2021.9.4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CF9018B"/>
    <w:rsid w:val="7A7A54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2021-09-11T07:26:13Z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2052-11.1.0.10667</vt:lpwstr>
  </property>
</Properties>
</file>