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成都联虹钼业有限公司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编号为：JL-10-02-2020对供方产品名称“纯钼方坯.低钾钼方坯.高温钼方坯.纯钨方坯.钼丝.钼棒.钼粉及钼合金粉”进行《2020年度供方业绩评价表》，其中评审组长（技术负责人），各会签单位，主管领导审批意见均没有相关证据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运营管理部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主要耗能设备没有测试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制坯部/板材及制品部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进出主要次级用能单位的电表配备达不到GB17167标准的要求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制坯部/板材及制品部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66395"/>
          <wp:effectExtent l="0" t="0" r="0" b="14605"/>
          <wp:wrapTight wrapText="bothSides">
            <wp:wrapPolygon>
              <wp:start x="5617" y="0"/>
              <wp:lineTo x="0" y="3594"/>
              <wp:lineTo x="0" y="16621"/>
              <wp:lineTo x="6420" y="21113"/>
              <wp:lineTo x="9630" y="21113"/>
              <wp:lineTo x="14445" y="21113"/>
              <wp:lineTo x="14846" y="21113"/>
              <wp:lineTo x="20463" y="14824"/>
              <wp:lineTo x="20864" y="8086"/>
              <wp:lineTo x="20864" y="5840"/>
              <wp:lineTo x="17654" y="2246"/>
              <wp:lineTo x="14445" y="0"/>
              <wp:lineTo x="5617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14.4pt;height:0pt;width:48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文本框 1" o:spid="_x0000_s4098" o:spt="202" type="#_x0000_t202" style="position:absolute;left:0pt;margin-left:314.05pt;margin-top:2.2pt;height:19.9pt;width:168.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F4F08BC"/>
    <w:rsid w:val="12874DDD"/>
    <w:rsid w:val="155A1F51"/>
    <w:rsid w:val="25F843CC"/>
    <w:rsid w:val="27C618D4"/>
    <w:rsid w:val="37FE55FD"/>
    <w:rsid w:val="393105FB"/>
    <w:rsid w:val="4C6A08C5"/>
    <w:rsid w:val="4D9E5399"/>
    <w:rsid w:val="563B4725"/>
    <w:rsid w:val="5EBA13B8"/>
    <w:rsid w:val="5EBA16E7"/>
    <w:rsid w:val="5FC11684"/>
    <w:rsid w:val="6722084D"/>
    <w:rsid w:val="67D84A32"/>
    <w:rsid w:val="6907776D"/>
    <w:rsid w:val="70D8031C"/>
    <w:rsid w:val="750C646B"/>
    <w:rsid w:val="79670132"/>
    <w:rsid w:val="7A9F2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2021-09-08T12:52:18Z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80E38EB1FEA24D33B8932B151D60A6E8</vt:lpwstr>
  </property>
</Properties>
</file>