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四川华盛竹业有限责任公司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邓清梅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断料开片疏解——碳化——浸胶——干燥——胶压——铣型——砂光——包装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</w:t>
            </w:r>
            <w:r>
              <w:rPr>
                <w:rFonts w:hint="eastAsia"/>
                <w:b/>
                <w:sz w:val="20"/>
                <w:lang w:val="en-US" w:eastAsia="zh-CN"/>
              </w:rPr>
              <w:t>/特殊过程：</w:t>
            </w:r>
            <w:r>
              <w:rPr>
                <w:rFonts w:hint="eastAsia"/>
                <w:b/>
                <w:sz w:val="20"/>
                <w:lang w:eastAsia="zh-CN"/>
              </w:rPr>
              <w:t>浸胶、胶压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原材料尺寸长度宽度，干燥过程水分、温度控制，胶压温度压力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，关键过程作业指导书控制措施；人员培训合格上岗，设备定期维护保养。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9" w:name="_GoBack" w:colFirst="2" w:colLast="7"/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结构用竹木复合板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GB/T 21128-2007、竹集成材地板 GB/T 20240-2017、竹单板饰面人造板 GB/T 21129-2007、湿法硬质纤维板 第4部分：干燥条件下使用的普通用板 GB/T 12626.4-2015、湿法硬质纤维板 第1部分：定义和分类 GB/T 12626.1-2009等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检验指标有：含水率、密度、吸水宽度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/厚度膨胀率、水平剪切强度等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bookmark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133350</wp:posOffset>
                  </wp:positionV>
                  <wp:extent cx="516255" cy="338455"/>
                  <wp:effectExtent l="0" t="0" r="171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B912EA"/>
    <w:rsid w:val="12B806C6"/>
    <w:rsid w:val="2EAF7FF1"/>
    <w:rsid w:val="409F1329"/>
    <w:rsid w:val="691F5169"/>
    <w:rsid w:val="776945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2021-09-06T04:59:55Z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