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重庆华利维盛油田化学科技有限公司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0932-2021-QEO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2021年9月5日上午08：30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2021年9月5日上午12：30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2021年9月5</w:t>
            </w:r>
            <w:bookmarkStart w:id="12" w:name="_GoBack"/>
            <w:bookmarkEnd w:id="12"/>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B80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2021-09-04T03:11:15Z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