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611"/>
        <w:gridCol w:w="894"/>
        <w:gridCol w:w="5"/>
        <w:gridCol w:w="494"/>
        <w:gridCol w:w="791"/>
        <w:gridCol w:w="1505"/>
        <w:gridCol w:w="195"/>
        <w:gridCol w:w="855"/>
        <w:gridCol w:w="67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bookmarkStart w:id="9" w:name="_GoBack"/>
            <w:r>
              <w:rPr>
                <w:rFonts w:hint="eastAsia"/>
                <w:b/>
                <w:color w:val="auto"/>
                <w:sz w:val="22"/>
                <w:szCs w:val="22"/>
              </w:rPr>
              <w:t>受审核方名称</w:t>
            </w:r>
          </w:p>
        </w:tc>
        <w:tc>
          <w:tcPr>
            <w:tcW w:w="3820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bookmarkStart w:id="7" w:name="组织名称"/>
            <w:r>
              <w:rPr>
                <w:b/>
                <w:color w:val="auto"/>
                <w:sz w:val="20"/>
              </w:rPr>
              <w:t>重庆力恒环保工程有限公司</w:t>
            </w:r>
            <w:bookmarkEnd w:id="7"/>
          </w:p>
        </w:tc>
        <w:tc>
          <w:tcPr>
            <w:tcW w:w="255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after="0" w:line="280" w:lineRule="exact"/>
              <w:ind w:left="52"/>
              <w:jc w:val="center"/>
              <w:rPr>
                <w:rFonts w:eastAsia="宋体"/>
                <w:b/>
                <w:color w:val="auto"/>
                <w:sz w:val="20"/>
              </w:rPr>
            </w:pPr>
            <w:r>
              <w:rPr>
                <w:rFonts w:hint="eastAsia" w:eastAsia="宋体"/>
                <w:b/>
                <w:color w:val="auto"/>
                <w:sz w:val="20"/>
              </w:rPr>
              <w:t>专业小类</w:t>
            </w:r>
            <w:r>
              <w:rPr>
                <w:rFonts w:eastAsia="宋体"/>
                <w:b/>
                <w:color w:val="auto"/>
                <w:sz w:val="20"/>
              </w:rPr>
              <w:t>/</w:t>
            </w:r>
          </w:p>
          <w:p>
            <w:pPr>
              <w:snapToGrid w:val="0"/>
              <w:spacing w:after="0" w:line="280" w:lineRule="exact"/>
              <w:ind w:left="52"/>
              <w:jc w:val="center"/>
              <w:rPr>
                <w:rFonts w:eastAsia="宋体"/>
                <w:b/>
                <w:color w:val="auto"/>
                <w:sz w:val="20"/>
              </w:rPr>
            </w:pPr>
            <w:r>
              <w:rPr>
                <w:rFonts w:hint="eastAsia" w:eastAsia="宋体"/>
                <w:b/>
                <w:color w:val="auto"/>
                <w:sz w:val="20"/>
              </w:rPr>
              <w:t>项目代码</w:t>
            </w:r>
          </w:p>
        </w:tc>
        <w:tc>
          <w:tcPr>
            <w:tcW w:w="20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after="0" w:line="280" w:lineRule="exact"/>
              <w:ind w:left="52"/>
              <w:jc w:val="center"/>
              <w:rPr>
                <w:rFonts w:eastAsia="宋体"/>
                <w:b/>
                <w:color w:val="auto"/>
                <w:sz w:val="20"/>
              </w:rPr>
            </w:pPr>
            <w:bookmarkStart w:id="8" w:name="专业代码"/>
            <w:r>
              <w:rPr>
                <w:rFonts w:eastAsia="宋体"/>
                <w:b/>
                <w:color w:val="auto"/>
                <w:sz w:val="20"/>
              </w:rPr>
              <w:t>Q：39.01.00;39.03.01</w:t>
            </w:r>
          </w:p>
          <w:p>
            <w:pPr>
              <w:snapToGrid w:val="0"/>
              <w:spacing w:after="0" w:line="280" w:lineRule="exact"/>
              <w:ind w:left="52"/>
              <w:jc w:val="center"/>
              <w:rPr>
                <w:rFonts w:eastAsia="宋体"/>
                <w:b/>
                <w:color w:val="auto"/>
                <w:sz w:val="20"/>
              </w:rPr>
            </w:pPr>
            <w:r>
              <w:rPr>
                <w:rFonts w:eastAsia="宋体"/>
                <w:b/>
                <w:color w:val="auto"/>
                <w:sz w:val="20"/>
              </w:rPr>
              <w:t>E：39.01.00;39.03.01</w:t>
            </w:r>
          </w:p>
          <w:p>
            <w:pPr>
              <w:snapToGrid w:val="0"/>
              <w:spacing w:after="0" w:line="280" w:lineRule="exact"/>
              <w:ind w:left="52"/>
              <w:jc w:val="center"/>
              <w:rPr>
                <w:rFonts w:eastAsia="宋体"/>
                <w:b/>
                <w:color w:val="auto"/>
                <w:sz w:val="20"/>
              </w:rPr>
            </w:pPr>
            <w:r>
              <w:rPr>
                <w:rFonts w:eastAsia="宋体"/>
                <w:b/>
                <w:color w:val="auto"/>
                <w:sz w:val="20"/>
              </w:rPr>
              <w:t>O：39.01.00;39.03.01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教师姓名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文平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snapToGrid w:val="0"/>
              <w:spacing w:after="0" w:line="280" w:lineRule="exact"/>
              <w:ind w:left="52"/>
              <w:jc w:val="center"/>
              <w:rPr>
                <w:rFonts w:hint="eastAsia" w:eastAsia="宋体"/>
                <w:b/>
                <w:color w:val="auto"/>
                <w:sz w:val="20"/>
              </w:rPr>
            </w:pPr>
            <w:r>
              <w:rPr>
                <w:rFonts w:hint="eastAsia" w:eastAsia="宋体"/>
                <w:b/>
                <w:color w:val="auto"/>
                <w:sz w:val="20"/>
              </w:rPr>
              <w:t>专业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snapToGrid w:val="0"/>
              <w:spacing w:after="0" w:line="280" w:lineRule="exact"/>
              <w:ind w:left="52"/>
              <w:jc w:val="center"/>
              <w:rPr>
                <w:rFonts w:hint="eastAsia" w:eastAsia="宋体"/>
                <w:b/>
                <w:color w:val="auto"/>
                <w:sz w:val="20"/>
              </w:rPr>
            </w:pPr>
            <w:r>
              <w:rPr>
                <w:rFonts w:hint="eastAsia" w:eastAsia="宋体"/>
                <w:b/>
                <w:color w:val="auto"/>
                <w:sz w:val="20"/>
              </w:rPr>
              <w:t>Q：39.01.00;39.03.01</w:t>
            </w:r>
          </w:p>
          <w:p>
            <w:pPr>
              <w:snapToGrid w:val="0"/>
              <w:spacing w:after="0" w:line="280" w:lineRule="exact"/>
              <w:ind w:left="52"/>
              <w:jc w:val="center"/>
              <w:rPr>
                <w:rFonts w:hint="eastAsia" w:eastAsia="宋体"/>
                <w:b/>
                <w:color w:val="auto"/>
                <w:sz w:val="20"/>
              </w:rPr>
            </w:pPr>
            <w:r>
              <w:rPr>
                <w:rFonts w:hint="eastAsia" w:eastAsia="宋体"/>
                <w:b/>
                <w:color w:val="auto"/>
                <w:sz w:val="20"/>
              </w:rPr>
              <w:t>E：39.01.00;39.03.01</w:t>
            </w:r>
          </w:p>
          <w:p>
            <w:pPr>
              <w:snapToGrid w:val="0"/>
              <w:spacing w:after="0" w:line="280" w:lineRule="exact"/>
              <w:ind w:left="52"/>
              <w:jc w:val="center"/>
              <w:rPr>
                <w:rFonts w:hint="eastAsia" w:eastAsia="宋体"/>
                <w:b/>
                <w:color w:val="auto"/>
                <w:sz w:val="20"/>
              </w:rPr>
            </w:pPr>
            <w:r>
              <w:rPr>
                <w:rFonts w:hint="eastAsia" w:eastAsia="宋体"/>
                <w:b/>
                <w:color w:val="auto"/>
                <w:sz w:val="20"/>
              </w:rPr>
              <w:t>O：39.01.00;39.03.01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生产工艺</w:t>
            </w:r>
            <w:r>
              <w:rPr>
                <w:b/>
                <w:color w:val="auto"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服务过程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废水治理、固废治理工艺流程：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合同签订→编制实施方案→岩屑泥浆振动筛脱水→输送至泥浆罐→物化处理→压滤→交由甲方处置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生产过程</w:t>
            </w:r>
            <w:r>
              <w:rPr>
                <w:b/>
                <w:color w:val="auto"/>
                <w:sz w:val="20"/>
              </w:rPr>
              <w:t>/</w:t>
            </w:r>
            <w:r>
              <w:rPr>
                <w:rFonts w:hint="eastAsia"/>
                <w:b/>
                <w:color w:val="auto"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特殊过程的控制</w:t>
            </w:r>
            <w:r>
              <w:rPr>
                <w:b/>
                <w:color w:val="auto"/>
                <w:sz w:val="20"/>
              </w:rPr>
              <w:t>/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现场运行管理控制主要是药剂添加、设备运行监控、化验分析，可能出现环境污染事故，人员出现职业伤害，如中毒、机械伤害等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重要环境及控制措施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1）固废的排放；2）潜在火灾；3）噪声；4）化学试剂的废弃等，采取控制措施和应急预案进行控制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1）火灾；2）意外伤害（中暑、交通事故、触电）；3）机械伤害；4）井喷失控；5）中毒等，采取控制措施和应急预案进行控制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《钻井废弃物无害化处理技术规范》（Q/SY XN 0276-2015）、城镇排水与污水处理服务GB/T 34173-2017、《污水综合排放标准》（GB8978-1996）、《一般工业固体废弃物储存、处置场污染控制标准》GB18599-2001Ⅱ场执行、《烧结普通产品》GB5101-2003等标准和客户技术要求。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14"/>
                <w:szCs w:val="14"/>
              </w:rPr>
            </w:pPr>
            <w:r>
              <w:rPr>
                <w:rFonts w:hint="eastAsia"/>
                <w:b/>
                <w:color w:val="auto"/>
                <w:sz w:val="20"/>
              </w:rPr>
              <w:t>检验和试验项目及要求</w:t>
            </w:r>
            <w:r>
              <w:rPr>
                <w:b/>
                <w:color w:val="auto"/>
                <w:sz w:val="20"/>
              </w:rPr>
              <w:t>(</w:t>
            </w:r>
            <w:r>
              <w:rPr>
                <w:rFonts w:hint="eastAsia"/>
                <w:b/>
                <w:color w:val="auto"/>
                <w:sz w:val="20"/>
              </w:rPr>
              <w:t>如有型式试验要求</w:t>
            </w:r>
            <w:r>
              <w:rPr>
                <w:b/>
                <w:color w:val="auto"/>
                <w:sz w:val="20"/>
              </w:rPr>
              <w:t>,</w:t>
            </w:r>
            <w:r>
              <w:rPr>
                <w:rFonts w:hint="eastAsia"/>
                <w:b/>
                <w:color w:val="auto"/>
                <w:sz w:val="20"/>
              </w:rPr>
              <w:t>要进行说明</w:t>
            </w:r>
            <w:r>
              <w:rPr>
                <w:b/>
                <w:color w:val="auto"/>
                <w:sz w:val="20"/>
              </w:rPr>
              <w:t>)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按技术要求约定只检测废水的</w:t>
            </w: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PH值，固废的含水率。通过PH试纸、水分测试仪进行检测。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/>
                <w:b/>
                <w:color w:val="auto"/>
                <w:sz w:val="20"/>
              </w:rPr>
              <w:t>其它相关知识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/>
                <w:b/>
                <w:color w:val="auto"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ascii="宋体"/>
                <w:b/>
                <w:color w:val="auto"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color w:val="auto"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158115</wp:posOffset>
                  </wp:positionV>
                  <wp:extent cx="334645" cy="310515"/>
                  <wp:effectExtent l="0" t="0" r="8255" b="6985"/>
                  <wp:wrapNone/>
                  <wp:docPr id="1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日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2021年09月06日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 w:ascii="宋体"/>
                <w:b/>
                <w:color w:val="auto"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146685</wp:posOffset>
                  </wp:positionV>
                  <wp:extent cx="334645" cy="310515"/>
                  <wp:effectExtent l="0" t="0" r="8255" b="6985"/>
                  <wp:wrapNone/>
                  <wp:docPr id="2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日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2021年09月06日</w:t>
            </w:r>
          </w:p>
        </w:tc>
      </w:tr>
      <w:bookmarkEnd w:id="9"/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  <w:rPr>
        <w:sz w:val="20"/>
      </w:rPr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76952F4"/>
    <w:rsid w:val="431A03A7"/>
    <w:rsid w:val="7A4A0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2021-09-08T06:38:45Z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