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0903-2021-Q</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自贡市春光机械厂</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12"/>
        <w:rPr>
          <w:sz w:val="28"/>
          <w:szCs w:val="28"/>
        </w:rPr>
      </w:pPr>
    </w:p>
    <w:p>
      <w:pPr>
        <w:pStyle w:val="12"/>
        <w:rPr>
          <w:sz w:val="28"/>
          <w:szCs w:val="28"/>
        </w:rPr>
      </w:pPr>
    </w:p>
    <w:p>
      <w:pPr>
        <w:pStyle w:val="1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自贡市春光机械厂</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富顺县邓井关街道松山社区白果路1号（1号厂房）</w:t>
            </w:r>
            <w:bookmarkEnd w:id="6"/>
          </w:p>
        </w:tc>
        <w:tc>
          <w:tcPr>
            <w:tcW w:w="1242" w:type="dxa"/>
            <w:vMerge w:val="restart"/>
            <w:vAlign w:val="center"/>
          </w:tcPr>
          <w:p>
            <w:r>
              <w:rPr>
                <w:rFonts w:hint="eastAsia"/>
              </w:rPr>
              <w:t>邮编</w:t>
            </w:r>
          </w:p>
        </w:tc>
        <w:tc>
          <w:tcPr>
            <w:tcW w:w="1771" w:type="dxa"/>
          </w:tcPr>
          <w:p>
            <w:bookmarkStart w:id="7" w:name="注册邮编"/>
            <w:r>
              <w:t>643200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富顺县邓井关街道松山社区白果路1号（1号厂房）</w:t>
            </w:r>
            <w:bookmarkEnd w:id="8"/>
          </w:p>
        </w:tc>
        <w:tc>
          <w:tcPr>
            <w:tcW w:w="1242" w:type="dxa"/>
            <w:vMerge w:val="continue"/>
            <w:vAlign w:val="center"/>
          </w:tcPr>
          <w:p/>
        </w:tc>
        <w:tc>
          <w:tcPr>
            <w:tcW w:w="1771" w:type="dxa"/>
          </w:tcPr>
          <w:p>
            <w:bookmarkStart w:id="9" w:name="办公邮编"/>
            <w:r>
              <w:t>643200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王瑞</w:t>
            </w:r>
            <w:bookmarkEnd w:id="10"/>
          </w:p>
        </w:tc>
        <w:tc>
          <w:tcPr>
            <w:tcW w:w="1313" w:type="dxa"/>
            <w:vAlign w:val="center"/>
          </w:tcPr>
          <w:p>
            <w:r>
              <w:rPr>
                <w:rFonts w:hint="eastAsia"/>
              </w:rPr>
              <w:t>电话.</w:t>
            </w:r>
          </w:p>
        </w:tc>
        <w:tc>
          <w:tcPr>
            <w:tcW w:w="2180" w:type="dxa"/>
            <w:vAlign w:val="center"/>
          </w:tcPr>
          <w:p>
            <w:bookmarkStart w:id="11" w:name="联系人电话"/>
            <w:r>
              <w:t>18829841889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王春常</w:t>
            </w:r>
            <w:bookmarkEnd w:id="13"/>
          </w:p>
        </w:tc>
        <w:tc>
          <w:tcPr>
            <w:tcW w:w="1313" w:type="dxa"/>
            <w:vAlign w:val="center"/>
          </w:tcPr>
          <w:p>
            <w:r>
              <w:rPr>
                <w:rFonts w:hint="eastAsia"/>
              </w:rPr>
              <w:t>管理者代表</w:t>
            </w:r>
          </w:p>
        </w:tc>
        <w:tc>
          <w:tcPr>
            <w:tcW w:w="2180" w:type="dxa"/>
          </w:tcPr>
          <w:p>
            <w:bookmarkStart w:id="14" w:name="管理者代表"/>
            <w:r>
              <w:t>杨颜霞</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pStyle w:val="25"/>
              <w:jc w:val="left"/>
              <w:rPr>
                <w:color w:val="000000"/>
                <w:sz w:val="24"/>
              </w:rPr>
            </w:pPr>
            <w:r>
              <w:rPr>
                <w:rFonts w:hint="eastAsia"/>
                <w:color w:val="000000"/>
                <w:sz w:val="24"/>
                <w:lang w:val="en-US" w:eastAsia="zh-CN"/>
              </w:rPr>
              <w:t>工艺</w:t>
            </w:r>
            <w:r>
              <w:rPr>
                <w:rFonts w:hint="eastAsia"/>
                <w:color w:val="000000"/>
                <w:sz w:val="24"/>
              </w:rPr>
              <w:t>流程</w:t>
            </w:r>
          </w:p>
          <w:p>
            <w:r>
              <w:rPr>
                <w:rFonts w:hint="eastAsia"/>
                <w:color w:val="000000"/>
                <w:lang w:val="en-US" w:eastAsia="zh-CN"/>
              </w:rPr>
              <w:t>来料——冲压——抛光——交付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2021年09月07日 上午至2021年09月07日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pPr>
              <w:rPr>
                <w:rFonts w:hint="eastAsia"/>
              </w:rPr>
            </w:pPr>
            <w:bookmarkStart w:id="29" w:name="审核范围"/>
            <w:r>
              <w:rPr>
                <w:rFonts w:hint="eastAsia"/>
              </w:rPr>
              <w:t>金属制品（汽车用垫片坯件）加工</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22.03.02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 xml:space="preserve">年 </w:t>
            </w:r>
            <w:r>
              <w:rPr>
                <w:rFonts w:hint="eastAsia"/>
                <w:lang w:val="en-US" w:eastAsia="zh-CN"/>
              </w:rPr>
              <w:t>3</w:t>
            </w:r>
            <w:r>
              <w:rPr>
                <w:rFonts w:hint="eastAsia"/>
              </w:rPr>
              <w:t xml:space="preserve">月 </w:t>
            </w:r>
            <w:r>
              <w:rPr>
                <w:rFonts w:hint="eastAsia"/>
                <w:lang w:val="en-US" w:eastAsia="zh-CN"/>
              </w:rPr>
              <w:t>12</w:t>
            </w:r>
            <w:r>
              <w:rPr>
                <w:rFonts w:hint="eastAsia"/>
              </w:rPr>
              <w:t xml:space="preserve"> 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158"/>
        <w:gridCol w:w="131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158" w:type="dxa"/>
            <w:shd w:val="clear" w:color="auto" w:fill="F3F3F3"/>
            <w:tcMar>
              <w:left w:w="57" w:type="dxa"/>
              <w:right w:w="57" w:type="dxa"/>
            </w:tcMar>
          </w:tcPr>
          <w:p>
            <w:r>
              <w:rPr>
                <w:rFonts w:hint="eastAsia"/>
              </w:rPr>
              <w:t>审核范围（产品和过程）</w:t>
            </w:r>
          </w:p>
          <w:p/>
          <w:p/>
        </w:tc>
        <w:tc>
          <w:tcPr>
            <w:tcW w:w="1314"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lang w:val="de-DE" w:eastAsia="ja-JP"/>
              </w:rPr>
            </w:pPr>
            <w:r>
              <w:rPr>
                <w:rFonts w:hint="eastAsia" w:ascii="宋体" w:hAnsi="宋体" w:cs="宋体"/>
                <w:color w:val="000000"/>
                <w:kern w:val="0"/>
                <w:szCs w:val="21"/>
              </w:rPr>
              <w:t>富顺县邓井关街道松山社区白果路1号（1号厂房）</w:t>
            </w:r>
          </w:p>
        </w:tc>
        <w:tc>
          <w:tcPr>
            <w:tcW w:w="2267" w:type="dxa"/>
            <w:vAlign w:val="top"/>
          </w:tcPr>
          <w:p>
            <w:pPr>
              <w:spacing w:before="40" w:after="40"/>
              <w:rPr>
                <w:lang w:val="de-DE" w:eastAsia="ja-JP"/>
              </w:rPr>
            </w:pPr>
            <w:r>
              <w:rPr>
                <w:rFonts w:hint="eastAsia" w:ascii="宋体" w:hAnsi="宋体" w:cs="宋体"/>
                <w:color w:val="000000"/>
                <w:kern w:val="0"/>
                <w:szCs w:val="21"/>
              </w:rPr>
              <w:t>富顺县邓井关街道松山社区白果路1号（1号厂房）</w:t>
            </w:r>
          </w:p>
        </w:tc>
        <w:tc>
          <w:tcPr>
            <w:tcW w:w="571" w:type="dxa"/>
            <w:vAlign w:val="center"/>
          </w:tcPr>
          <w:p>
            <w:pPr>
              <w:spacing w:before="40" w:after="40"/>
              <w:rPr>
                <w:lang w:eastAsia="ja-JP"/>
              </w:rPr>
            </w:pPr>
            <w:r>
              <w:rPr>
                <w:rFonts w:hint="eastAsia" w:eastAsia="黑体"/>
                <w:szCs w:val="21"/>
                <w:lang w:val="en-US" w:eastAsia="zh-CN"/>
              </w:rPr>
              <w:t>20</w:t>
            </w:r>
          </w:p>
        </w:tc>
        <w:tc>
          <w:tcPr>
            <w:tcW w:w="2158" w:type="dxa"/>
            <w:vAlign w:val="center"/>
          </w:tcPr>
          <w:p>
            <w:pPr>
              <w:pStyle w:val="21"/>
              <w:rPr>
                <w:lang w:eastAsia="ja-JP"/>
              </w:rPr>
            </w:pPr>
            <w:r>
              <w:t>金属制品（汽车用垫片坯件）加工</w:t>
            </w:r>
          </w:p>
        </w:tc>
        <w:tc>
          <w:tcPr>
            <w:tcW w:w="1314" w:type="dxa"/>
            <w:vAlign w:val="center"/>
          </w:tcPr>
          <w:p>
            <w:pPr>
              <w:spacing w:before="40" w:after="40"/>
              <w:rPr>
                <w:lang w:eastAsia="ja-JP"/>
              </w:rPr>
            </w:pPr>
            <w:r>
              <w:rPr>
                <w:rFonts w:hint="eastAsia" w:ascii="宋体" w:hAnsi="宋体"/>
                <w:b/>
                <w:sz w:val="21"/>
                <w:szCs w:val="21"/>
              </w:rPr>
              <w:t>GB/T19001-2016/ISO 9001:2015</w:t>
            </w:r>
          </w:p>
        </w:tc>
        <w:tc>
          <w:tcPr>
            <w:tcW w:w="668" w:type="dxa"/>
            <w:shd w:val="clear" w:color="auto" w:fill="FFFFFF"/>
            <w:vAlign w:val="top"/>
          </w:tcPr>
          <w:p>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58" w:type="dxa"/>
            <w:vAlign w:val="center"/>
          </w:tcPr>
          <w:p>
            <w:pPr>
              <w:rPr>
                <w:lang w:eastAsia="ja-JP"/>
              </w:rPr>
            </w:pPr>
          </w:p>
        </w:tc>
        <w:tc>
          <w:tcPr>
            <w:tcW w:w="1314"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组长</w:t>
            </w:r>
          </w:p>
        </w:tc>
        <w:tc>
          <w:tcPr>
            <w:tcW w:w="711" w:type="dxa"/>
            <w:vAlign w:val="center"/>
          </w:tcPr>
          <w:p>
            <w:r>
              <w:t>男</w:t>
            </w:r>
          </w:p>
        </w:tc>
        <w:tc>
          <w:tcPr>
            <w:tcW w:w="3870" w:type="dxa"/>
            <w:vAlign w:val="center"/>
          </w:tcPr>
          <w:p>
            <w:r>
              <w:t>2020-N1QMS-1247783</w:t>
            </w:r>
          </w:p>
        </w:tc>
        <w:tc>
          <w:tcPr>
            <w:tcW w:w="2179" w:type="dxa"/>
            <w:vAlign w:val="center"/>
          </w:tcPr>
          <w:p>
            <w:r>
              <w:t>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65"/>
        <w:gridCol w:w="2668"/>
        <w:gridCol w:w="65"/>
        <w:gridCol w:w="7034"/>
        <w:gridCol w:w="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gridBefore w:val="1"/>
          <w:wBefore w:w="65" w:type="dxa"/>
          <w:trHeight w:val="315" w:hRule="atLeast"/>
          <w:jc w:val="center"/>
        </w:trPr>
        <w:tc>
          <w:tcPr>
            <w:tcW w:w="2733" w:type="dxa"/>
            <w:gridSpan w:val="2"/>
            <w:tcBorders>
              <w:top w:val="single" w:color="auto" w:sz="4" w:space="0"/>
              <w:left w:val="single" w:color="auto" w:sz="4" w:space="0"/>
              <w:bottom w:val="single" w:color="auto" w:sz="4" w:space="0"/>
              <w:right w:val="single" w:color="auto" w:sz="4" w:space="0"/>
            </w:tcBorders>
            <w:shd w:val="clear" w:color="auto" w:fill="auto"/>
          </w:tcPr>
          <w:p/>
        </w:tc>
        <w:tc>
          <w:tcPr>
            <w:tcW w:w="7099" w:type="dxa"/>
            <w:gridSpan w:val="2"/>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5" w:type="dxa"/>
          <w:trHeight w:val="315" w:hRule="atLeast"/>
          <w:jc w:val="center"/>
        </w:trPr>
        <w:tc>
          <w:tcPr>
            <w:tcW w:w="2733" w:type="dxa"/>
            <w:gridSpan w:val="2"/>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gridSpan w:val="2"/>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gridAfter w:val="1"/>
          <w:wAfter w:w="65" w:type="dxa"/>
          <w:trHeight w:val="315" w:hRule="atLeast"/>
          <w:jc w:val="center"/>
        </w:trPr>
        <w:tc>
          <w:tcPr>
            <w:tcW w:w="2733" w:type="dxa"/>
            <w:gridSpan w:val="2"/>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gridSpan w:val="2"/>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一阶段无问题整改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gridAfter w:val="1"/>
          <w:wAfter w:w="65" w:type="dxa"/>
          <w:trHeight w:val="315" w:hRule="atLeast"/>
          <w:jc w:val="center"/>
        </w:trPr>
        <w:tc>
          <w:tcPr>
            <w:tcW w:w="2733" w:type="dxa"/>
            <w:gridSpan w:val="2"/>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gridSpan w:val="2"/>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 w:type="dxa"/>
          <w:trHeight w:val="315" w:hRule="atLeast"/>
          <w:jc w:val="center"/>
        </w:trPr>
        <w:tc>
          <w:tcPr>
            <w:tcW w:w="2733" w:type="dxa"/>
            <w:gridSpan w:val="2"/>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gridSpan w:val="2"/>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gridAfter w:val="1"/>
          <w:wAfter w:w="65" w:type="dxa"/>
          <w:trHeight w:val="315" w:hRule="atLeast"/>
          <w:jc w:val="center"/>
        </w:trPr>
        <w:tc>
          <w:tcPr>
            <w:tcW w:w="2733" w:type="dxa"/>
            <w:gridSpan w:val="2"/>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gridSpan w:val="2"/>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Pr>
        <w:rPr>
          <w:highlight w:val="none"/>
        </w:rPr>
      </w:pPr>
    </w:p>
    <w:p>
      <w:pPr>
        <w:rPr>
          <w:highlight w:val="none"/>
        </w:rPr>
      </w:pPr>
      <w:r>
        <w:rPr>
          <w:rFonts w:hint="eastAsia"/>
          <w:highlight w:val="none"/>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bl>
    <w:p>
      <w:pPr>
        <w:ind w:firstLine="210" w:firstLineChars="100"/>
        <w:rPr>
          <w:highlight w:val="none"/>
        </w:rPr>
      </w:pPr>
      <w:r>
        <w:rPr>
          <w:rFonts w:hint="eastAsia"/>
          <w:highlight w:val="none"/>
        </w:rPr>
        <w:t>注1：若一个不符合涉及2个以上管理体系时可在每个体系分别表述</w:t>
      </w:r>
    </w:p>
    <w:p>
      <w:pPr>
        <w:ind w:firstLine="210" w:firstLineChars="100"/>
        <w:rPr>
          <w:highlight w:val="none"/>
        </w:rPr>
      </w:pPr>
      <w:r>
        <w:rPr>
          <w:rFonts w:hint="eastAsia"/>
          <w:highlight w:val="none"/>
        </w:rPr>
        <w:t>注2：本次审核开具的不符合项，分布见相关管理体系附件。</w:t>
      </w:r>
    </w:p>
    <w:p>
      <w:pPr>
        <w:ind w:firstLine="210" w:firstLineChars="100"/>
        <w:rPr>
          <w:highlight w:val="none"/>
        </w:rPr>
      </w:pPr>
      <w:r>
        <w:rPr>
          <w:rFonts w:hint="eastAsia"/>
          <w:highlight w:val="none"/>
        </w:rPr>
        <w:t xml:space="preserve">注3：本次审核发现不符合及存在问题对管理体系实现目标的影响□较大  </w:t>
      </w:r>
      <w:r>
        <w:rPr>
          <w:rFonts w:hint="eastAsia"/>
          <w:highlight w:val="none"/>
          <w:lang w:eastAsia="zh-CN"/>
        </w:rPr>
        <w:t>☑</w:t>
      </w:r>
      <w:r>
        <w:rPr>
          <w:rFonts w:hint="eastAsia"/>
          <w:highlight w:val="none"/>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vAlign w:val="center"/>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vAlign w:val="center"/>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469900</wp:posOffset>
                  </wp:positionH>
                  <wp:positionV relativeFrom="paragraph">
                    <wp:posOffset>64135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p>
          <w:p/>
        </w:tc>
        <w:tc>
          <w:tcPr>
            <w:tcW w:w="2764" w:type="dxa"/>
            <w:tcMar>
              <w:left w:w="113" w:type="dxa"/>
            </w:tcMar>
          </w:tcPr>
          <w:p>
            <w:pPr>
              <w:rPr>
                <w:rFonts w:hint="default" w:eastAsia="宋体"/>
                <w:lang w:val="en-US" w:eastAsia="zh-CN"/>
              </w:rPr>
            </w:pPr>
            <w:r>
              <w:rPr>
                <w:rFonts w:hint="eastAsia"/>
              </w:rPr>
              <w:t>日期</w:t>
            </w:r>
            <w:r>
              <w:rPr>
                <w:rFonts w:hint="eastAsia"/>
                <w:lang w:eastAsia="zh-CN"/>
              </w:rPr>
              <w:t>：</w:t>
            </w:r>
            <w:r>
              <w:rPr>
                <w:rFonts w:hint="eastAsia"/>
                <w:lang w:val="en-US" w:eastAsia="zh-CN"/>
              </w:rPr>
              <w:t>2021.9.7</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□工艺 □设备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 xml:space="preserve">检测水平□合同评审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rPr>
              <w:t>□新产品设计开发 □原材料采购 □外部供方控制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□生产/服务过程 □检验检测 </w:t>
            </w:r>
            <w:r>
              <w:rPr>
                <w:rFonts w:hint="eastAsia"/>
                <w:lang w:eastAsia="zh-CN"/>
              </w:rPr>
              <w:t>☑</w:t>
            </w:r>
            <w:r>
              <w:rPr>
                <w:rFonts w:hint="eastAsia"/>
              </w:rPr>
              <w:t xml:space="preserve">产品运输 </w:t>
            </w:r>
            <w:r>
              <w:rPr>
                <w:rFonts w:hint="eastAsia"/>
                <w:lang w:eastAsia="zh-CN"/>
              </w:rPr>
              <w:t>☑</w:t>
            </w:r>
            <w:r>
              <w:rPr>
                <w:rFonts w:hint="eastAsia"/>
              </w:rPr>
              <w:t>设备维修</w:t>
            </w:r>
          </w:p>
          <w:p>
            <w:pPr>
              <w:shd w:val="clear" w:color="auto" w:fill="C7DAF1" w:themeFill="text2" w:themeFillTint="32"/>
              <w:spacing w:before="40" w:after="40"/>
            </w:pPr>
            <w:r>
              <w:rPr>
                <w:rFonts w:hint="eastAsia"/>
                <w:lang w:eastAsia="zh-CN"/>
              </w:rPr>
              <w:t>□</w:t>
            </w: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u w:val="single"/>
              </w:rPr>
              <w:t xml:space="preserve"> </w:t>
            </w:r>
            <w:r>
              <w:rPr>
                <w:rFonts w:hint="eastAsia" w:ascii="Times New Roman" w:hAnsi="Times New Roman" w:eastAsia="宋体" w:cs="Times New Roman"/>
                <w:color w:val="000000"/>
                <w:szCs w:val="18"/>
                <w:u w:val="single"/>
              </w:rPr>
              <w:t>诚实信用、科学公正；严谨务实、服务热情;节约资源、优化环境；以人为本</w:t>
            </w:r>
            <w:r>
              <w:rPr>
                <w:rFonts w:hint="eastAsia" w:ascii="Times New Roman" w:hAnsi="Times New Roman" w:eastAsia="宋体" w:cs="Times New Roman"/>
                <w:color w:val="000000"/>
                <w:szCs w:val="18"/>
                <w:u w:val="single"/>
                <w:lang w:eastAsia="zh-CN"/>
              </w:rPr>
              <w:t>，</w:t>
            </w:r>
            <w:r>
              <w:rPr>
                <w:rFonts w:hint="eastAsia" w:ascii="Times New Roman" w:hAnsi="Times New Roman" w:eastAsia="宋体" w:cs="Times New Roman"/>
                <w:color w:val="000000"/>
                <w:szCs w:val="18"/>
                <w:u w:val="single"/>
              </w:rPr>
              <w:t>安全健康；遵纪守法， 服务社会</w:t>
            </w:r>
            <w:r>
              <w:rPr>
                <w:rFonts w:hint="eastAsia"/>
                <w:u w:val="single"/>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项目部</w:t>
            </w:r>
            <w:r>
              <w:rPr>
                <w:rFonts w:hint="eastAsia"/>
              </w:rPr>
              <w:t>—</w:t>
            </w:r>
            <w:r>
              <w:rPr>
                <w:rFonts w:hint="eastAsia"/>
                <w:lang w:val="en-US" w:eastAsia="zh-CN"/>
              </w:rPr>
              <w:t>技术部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imes New Roman" w:hAnsi="Times New Roman" w:eastAsia="宋体" w:cs="Times New Roman"/>
                      <w:lang w:eastAsia="zh-CN"/>
                    </w:rPr>
                    <w:t>服务质量不良造成客户流失</w:t>
                  </w:r>
                </w:p>
              </w:tc>
              <w:tc>
                <w:tcPr>
                  <w:tcW w:w="3965" w:type="dxa"/>
                </w:tcPr>
                <w:p>
                  <w:pPr>
                    <w:pStyle w:val="27"/>
                    <w:snapToGrid w:val="0"/>
                    <w:ind w:left="106" w:leftChars="50" w:hanging="1"/>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1.质量管理部门、业务管理部门需与客户沟通好服务质量要求，并编制作业指导书，确保公司与客户双方质量要求一致；</w:t>
                  </w:r>
                </w:p>
                <w:p>
                  <w:pPr>
                    <w:pStyle w:val="27"/>
                    <w:snapToGrid w:val="0"/>
                    <w:ind w:left="113" w:leftChars="54"/>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2.生产过程中落实全过程检验，合格后方可放行，并做好记录。</w:t>
                  </w:r>
                </w:p>
                <w:p>
                  <w:pPr>
                    <w:pStyle w:val="27"/>
                    <w:snapToGrid w:val="0"/>
                    <w:ind w:left="105" w:leftChars="50" w:firstLine="10" w:firstLineChars="5"/>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3.外购物资需做好检验、功能测试及检验或资质证明验证。</w:t>
                  </w:r>
                </w:p>
                <w:p>
                  <w:pPr>
                    <w:shd w:val="clear" w:color="auto" w:fill="C7DAF1" w:themeFill="text2" w:themeFillTint="32"/>
                  </w:pPr>
                  <w:r>
                    <w:rPr>
                      <w:rFonts w:hint="eastAsia" w:ascii="Times New Roman" w:hAnsi="Times New Roman" w:eastAsia="宋体" w:cs="Times New Roman"/>
                      <w:kern w:val="2"/>
                      <w:sz w:val="21"/>
                      <w:szCs w:val="24"/>
                      <w:lang w:val="en-US" w:eastAsia="zh-CN" w:bidi="ar-SA"/>
                    </w:rPr>
                    <w:t>4.负责业务、质量或技术的人员不定期拜访客户，沟通客户要求，确保服务质量满足客户要求。</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pPr>
                  <w:r>
                    <w:rPr>
                      <w:rFonts w:hint="eastAsia" w:ascii="Times New Roman" w:hAnsi="Times New Roman" w:eastAsia="宋体" w:cs="Times New Roman"/>
                      <w:color w:val="000000"/>
                      <w:szCs w:val="18"/>
                    </w:rPr>
                    <w:t>产品交付合格率100%；</w:t>
                  </w:r>
                </w:p>
              </w:tc>
              <w:tc>
                <w:tcPr>
                  <w:tcW w:w="3136" w:type="dxa"/>
                  <w:shd w:val="clear" w:color="auto" w:fill="auto"/>
                  <w:vAlign w:val="center"/>
                </w:tcPr>
                <w:p>
                  <w:pPr>
                    <w:widowControl/>
                    <w:spacing w:before="40"/>
                    <w:jc w:val="left"/>
                    <w:rPr>
                      <w:lang w:val="en-GB"/>
                    </w:rPr>
                  </w:pPr>
                  <w:r>
                    <w:rPr>
                      <w:rFonts w:hint="eastAsia" w:ascii="Times New Roman" w:hAnsi="Times New Roman" w:eastAsia="宋体" w:cs="Times New Roman"/>
                      <w:color w:val="000000"/>
                      <w:szCs w:val="18"/>
                    </w:rPr>
                    <w:t>交付合格数/交付总数*100%</w:t>
                  </w:r>
                </w:p>
              </w:tc>
              <w:tc>
                <w:tcPr>
                  <w:tcW w:w="1350" w:type="dxa"/>
                  <w:shd w:val="clear" w:color="auto" w:fill="auto"/>
                  <w:vAlign w:val="top"/>
                </w:tcPr>
                <w:p>
                  <w:pPr>
                    <w:widowControl/>
                    <w:spacing w:before="40"/>
                    <w:jc w:val="left"/>
                    <w:rPr>
                      <w:lang w:val="en-GB"/>
                    </w:rPr>
                  </w:pPr>
                  <w:r>
                    <w:rPr>
                      <w:rFonts w:hint="eastAsia" w:ascii="宋体" w:hAnsi="宋体" w:cs="新宋体"/>
                      <w:sz w:val="21"/>
                      <w:szCs w:val="21"/>
                      <w:lang w:eastAsia="zh-CN"/>
                    </w:rPr>
                    <w:t>行政部</w:t>
                  </w:r>
                </w:p>
              </w:tc>
              <w:tc>
                <w:tcPr>
                  <w:tcW w:w="1774" w:type="dxa"/>
                  <w:shd w:val="clear" w:color="auto" w:fill="auto"/>
                  <w:vAlign w:val="center"/>
                </w:tcPr>
                <w:p>
                  <w:pPr>
                    <w:widowControl/>
                    <w:spacing w:before="40"/>
                    <w:jc w:val="left"/>
                    <w:rPr>
                      <w:rFonts w:ascii="宋体" w:hAnsi="宋体"/>
                      <w:lang w:val="en-GB"/>
                    </w:rPr>
                  </w:pPr>
                  <w:r>
                    <w:rPr>
                      <w:rFonts w:hint="eastAsia" w:ascii="Times New Roman" w:hAnsi="Times New Roman" w:eastAsia="宋体" w:cs="Times New Roman"/>
                      <w:color w:val="000000"/>
                      <w:szCs w:val="18"/>
                    </w:rPr>
                    <w:t>产品交付合格率100%；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pPr>
                  <w:r>
                    <w:rPr>
                      <w:rFonts w:hint="eastAsia" w:ascii="Times New Roman" w:hAnsi="Times New Roman" w:eastAsia="宋体" w:cs="Times New Roman"/>
                      <w:color w:val="000000"/>
                      <w:szCs w:val="18"/>
                    </w:rPr>
                    <w:t>合同按时交付率100%</w:t>
                  </w:r>
                </w:p>
              </w:tc>
              <w:tc>
                <w:tcPr>
                  <w:tcW w:w="3136" w:type="dxa"/>
                  <w:shd w:val="clear" w:color="auto" w:fill="auto"/>
                  <w:vAlign w:val="center"/>
                </w:tcPr>
                <w:p>
                  <w:pPr>
                    <w:widowControl/>
                    <w:spacing w:before="40"/>
                    <w:jc w:val="left"/>
                    <w:rPr>
                      <w:rFonts w:ascii="宋体" w:hAnsi="宋体"/>
                    </w:rPr>
                  </w:pPr>
                  <w:r>
                    <w:rPr>
                      <w:rFonts w:hint="eastAsia" w:ascii="Times New Roman" w:hAnsi="Times New Roman" w:eastAsia="宋体" w:cs="Times New Roman"/>
                      <w:color w:val="000000"/>
                      <w:szCs w:val="18"/>
                    </w:rPr>
                    <w:t>合同交付数/交付总数*100%</w:t>
                  </w:r>
                </w:p>
              </w:tc>
              <w:tc>
                <w:tcPr>
                  <w:tcW w:w="1350" w:type="dxa"/>
                  <w:shd w:val="clear" w:color="auto" w:fill="auto"/>
                  <w:vAlign w:val="top"/>
                </w:tcPr>
                <w:p>
                  <w:pPr>
                    <w:widowControl/>
                    <w:spacing w:before="40"/>
                    <w:jc w:val="left"/>
                    <w:rPr>
                      <w:rFonts w:ascii="宋体" w:hAnsi="宋体"/>
                    </w:rPr>
                  </w:pPr>
                  <w:r>
                    <w:rPr>
                      <w:rFonts w:hint="eastAsia" w:ascii="宋体" w:hAnsi="宋体" w:cs="新宋体"/>
                      <w:sz w:val="21"/>
                      <w:szCs w:val="21"/>
                      <w:lang w:eastAsia="zh-CN"/>
                    </w:rPr>
                    <w:t>行政部</w:t>
                  </w:r>
                </w:p>
              </w:tc>
              <w:tc>
                <w:tcPr>
                  <w:tcW w:w="1774" w:type="dxa"/>
                  <w:shd w:val="clear" w:color="auto" w:fill="auto"/>
                  <w:vAlign w:val="center"/>
                </w:tcPr>
                <w:p>
                  <w:pPr>
                    <w:widowControl/>
                    <w:spacing w:before="40"/>
                    <w:jc w:val="left"/>
                    <w:rPr>
                      <w:rFonts w:ascii="宋体" w:hAnsi="宋体"/>
                    </w:rPr>
                  </w:pPr>
                  <w:r>
                    <w:rPr>
                      <w:rFonts w:hint="eastAsia" w:ascii="Times New Roman" w:hAnsi="Times New Roman" w:eastAsia="宋体" w:cs="Times New Roman"/>
                      <w:color w:val="000000"/>
                      <w:szCs w:val="18"/>
                    </w:rPr>
                    <w:t>合同按时交付率100%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pPr>
                  <w:r>
                    <w:rPr>
                      <w:rFonts w:hint="eastAsia" w:ascii="Times New Roman" w:hAnsi="Times New Roman" w:eastAsia="宋体" w:cs="Times New Roman"/>
                      <w:color w:val="000000"/>
                      <w:szCs w:val="18"/>
                    </w:rPr>
                    <w:t>顾客满意度＞90分</w:t>
                  </w:r>
                </w:p>
              </w:tc>
              <w:tc>
                <w:tcPr>
                  <w:tcW w:w="3136" w:type="dxa"/>
                  <w:shd w:val="clear" w:color="auto" w:fill="auto"/>
                  <w:vAlign w:val="center"/>
                </w:tcPr>
                <w:p>
                  <w:pPr>
                    <w:widowControl/>
                    <w:spacing w:before="40"/>
                    <w:jc w:val="left"/>
                    <w:rPr>
                      <w:rFonts w:ascii="宋体" w:hAnsi="宋体"/>
                    </w:rPr>
                  </w:pPr>
                  <w:r>
                    <w:rPr>
                      <w:rFonts w:hint="eastAsia" w:ascii="Times New Roman" w:hAnsi="Times New Roman" w:eastAsia="宋体" w:cs="Times New Roman"/>
                      <w:color w:val="000000"/>
                      <w:szCs w:val="18"/>
                    </w:rPr>
                    <w:t>满意得分和/总调查数</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cs="新宋体"/>
                      <w:sz w:val="21"/>
                      <w:szCs w:val="21"/>
                      <w:lang w:eastAsia="zh-CN"/>
                    </w:rPr>
                    <w:t>行政部</w:t>
                  </w:r>
                </w:p>
              </w:tc>
              <w:tc>
                <w:tcPr>
                  <w:tcW w:w="1774" w:type="dxa"/>
                  <w:shd w:val="clear" w:color="auto" w:fill="auto"/>
                  <w:vAlign w:val="center"/>
                </w:tcPr>
                <w:p>
                  <w:pPr>
                    <w:widowControl/>
                    <w:spacing w:before="40"/>
                    <w:jc w:val="left"/>
                    <w:rPr>
                      <w:rFonts w:ascii="宋体" w:hAnsi="宋体"/>
                    </w:rPr>
                  </w:pPr>
                  <w:r>
                    <w:rPr>
                      <w:rFonts w:hint="eastAsia" w:ascii="Times New Roman" w:hAnsi="Times New Roman" w:eastAsia="宋体" w:cs="Times New Roman"/>
                      <w:color w:val="000000"/>
                      <w:szCs w:val="18"/>
                    </w:rPr>
                    <w:t>顾客满意度</w:t>
                  </w:r>
                  <w:r>
                    <w:rPr>
                      <w:rFonts w:hint="eastAsia" w:ascii="Times New Roman" w:hAnsi="Times New Roman" w:eastAsia="宋体" w:cs="Times New Roman"/>
                      <w:color w:val="000000"/>
                      <w:szCs w:val="18"/>
                      <w:lang w:val="en-US" w:eastAsia="zh-CN"/>
                    </w:rPr>
                    <w:t>96</w:t>
                  </w:r>
                  <w:r>
                    <w:rPr>
                      <w:rFonts w:hint="eastAsia" w:ascii="Times New Roman" w:hAnsi="Times New Roman" w:eastAsia="宋体" w:cs="Times New Roman"/>
                      <w:color w:val="000000"/>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200</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冲床</w:t>
            </w:r>
            <w:r>
              <w:rPr>
                <w:rFonts w:hint="eastAsia"/>
                <w:color w:val="000000"/>
                <w:u w:val="single"/>
                <w:lang w:val="en-US" w:eastAsia="zh-CN"/>
              </w:rPr>
              <w:t>、车床、抛光桶等</w:t>
            </w:r>
            <w:r>
              <w:rPr>
                <w:rFonts w:hint="eastAsia"/>
                <w:u w:val="single"/>
              </w:rPr>
              <w:t xml:space="preserve"> （列举2~4种）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r>
              <w:rPr>
                <w:rFonts w:hint="eastAsia"/>
                <w:u w:val="single"/>
                <w:lang w:val="en-US" w:eastAsia="zh-CN"/>
              </w:rPr>
              <w:t>游标卡尺、千分尺</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外包过程：无</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sz w:val="20"/>
                      <w:szCs w:val="22"/>
                      <w:highlight w:val="none"/>
                    </w:rPr>
                  </w:pPr>
                  <w:r>
                    <w:rPr>
                      <w:rFonts w:hint="eastAsia"/>
                      <w:sz w:val="20"/>
                      <w:szCs w:val="22"/>
                      <w:highlight w:val="none"/>
                    </w:rPr>
                    <w:t>产品/服务名称</w:t>
                  </w:r>
                </w:p>
              </w:tc>
              <w:tc>
                <w:tcPr>
                  <w:tcW w:w="3665" w:type="dxa"/>
                </w:tcPr>
                <w:p>
                  <w:pPr>
                    <w:shd w:val="clear" w:color="auto" w:fill="C7DAF1" w:themeFill="text2" w:themeFillTint="32"/>
                    <w:jc w:val="left"/>
                    <w:rPr>
                      <w:sz w:val="20"/>
                      <w:szCs w:val="22"/>
                      <w:highlight w:val="none"/>
                    </w:rPr>
                  </w:pPr>
                  <w:r>
                    <w:rPr>
                      <w:rFonts w:hint="eastAsia"/>
                      <w:sz w:val="20"/>
                      <w:szCs w:val="22"/>
                      <w:highlight w:val="none"/>
                    </w:rPr>
                    <w:t>关键过程</w:t>
                  </w:r>
                </w:p>
              </w:tc>
              <w:tc>
                <w:tcPr>
                  <w:tcW w:w="3265" w:type="dxa"/>
                </w:tcPr>
                <w:p>
                  <w:pPr>
                    <w:shd w:val="clear" w:color="auto" w:fill="C7DAF1" w:themeFill="text2" w:themeFillTint="32"/>
                    <w:jc w:val="left"/>
                    <w:rPr>
                      <w:sz w:val="20"/>
                      <w:szCs w:val="22"/>
                      <w:highlight w:val="none"/>
                    </w:rPr>
                  </w:pPr>
                  <w:r>
                    <w:rPr>
                      <w:rFonts w:hint="eastAsia"/>
                      <w:sz w:val="20"/>
                      <w:szCs w:val="22"/>
                      <w:highlight w:val="none"/>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sz w:val="20"/>
                      <w:szCs w:val="22"/>
                      <w:highlight w:val="none"/>
                      <w:lang w:val="en-US" w:eastAsia="zh-CN"/>
                    </w:rPr>
                  </w:pPr>
                  <w:r>
                    <w:rPr>
                      <w:rFonts w:hint="eastAsia"/>
                      <w:sz w:val="20"/>
                      <w:szCs w:val="22"/>
                      <w:highlight w:val="none"/>
                      <w:lang w:val="en-US" w:eastAsia="zh-CN"/>
                    </w:rPr>
                    <w:t>垫片</w:t>
                  </w:r>
                </w:p>
              </w:tc>
              <w:tc>
                <w:tcPr>
                  <w:tcW w:w="3665" w:type="dxa"/>
                </w:tcPr>
                <w:p>
                  <w:pPr>
                    <w:shd w:val="clear" w:color="auto" w:fill="C7DAF1" w:themeFill="text2" w:themeFillTint="32"/>
                    <w:jc w:val="left"/>
                    <w:rPr>
                      <w:rFonts w:hint="eastAsia" w:eastAsia="宋体"/>
                      <w:sz w:val="20"/>
                      <w:szCs w:val="22"/>
                      <w:highlight w:val="none"/>
                      <w:lang w:val="en-US" w:eastAsia="zh-CN"/>
                    </w:rPr>
                  </w:pPr>
                  <w:r>
                    <w:rPr>
                      <w:rFonts w:hint="eastAsia"/>
                      <w:sz w:val="20"/>
                      <w:szCs w:val="22"/>
                      <w:highlight w:val="none"/>
                      <w:lang w:val="en-US" w:eastAsia="zh-CN"/>
                    </w:rPr>
                    <w:t>冲压</w:t>
                  </w:r>
                </w:p>
              </w:tc>
              <w:tc>
                <w:tcPr>
                  <w:tcW w:w="3265" w:type="dxa"/>
                </w:tcPr>
                <w:p>
                  <w:pPr>
                    <w:shd w:val="clear" w:color="auto" w:fill="C7DAF1" w:themeFill="text2" w:themeFillTint="32"/>
                    <w:jc w:val="left"/>
                    <w:rPr>
                      <w:rFonts w:hint="default" w:eastAsia="宋体"/>
                      <w:sz w:val="20"/>
                      <w:szCs w:val="22"/>
                      <w:highlight w:val="none"/>
                      <w:lang w:val="en-US" w:eastAsia="zh-CN"/>
                    </w:rPr>
                  </w:pPr>
                  <w:r>
                    <w:rPr>
                      <w:rFonts w:hint="eastAsia"/>
                      <w:sz w:val="20"/>
                      <w:szCs w:val="22"/>
                      <w:highlight w:val="none"/>
                      <w:lang w:val="en-US" w:eastAsia="zh-CN"/>
                    </w:rPr>
                    <w:t>尺寸大小、毛刺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sz w:val="20"/>
                      <w:szCs w:val="22"/>
                      <w:highlight w:val="none"/>
                    </w:rPr>
                  </w:pPr>
                </w:p>
              </w:tc>
              <w:tc>
                <w:tcPr>
                  <w:tcW w:w="3665" w:type="dxa"/>
                </w:tcPr>
                <w:p>
                  <w:pPr>
                    <w:shd w:val="clear" w:color="auto" w:fill="C7DAF1" w:themeFill="text2" w:themeFillTint="32"/>
                    <w:jc w:val="left"/>
                    <w:rPr>
                      <w:sz w:val="20"/>
                      <w:szCs w:val="22"/>
                      <w:highlight w:val="none"/>
                    </w:rPr>
                  </w:pPr>
                </w:p>
              </w:tc>
              <w:tc>
                <w:tcPr>
                  <w:tcW w:w="3265" w:type="dxa"/>
                </w:tcPr>
                <w:p>
                  <w:pPr>
                    <w:shd w:val="clear" w:color="auto" w:fill="C7DAF1" w:themeFill="text2" w:themeFillTint="32"/>
                    <w:jc w:val="left"/>
                    <w:rPr>
                      <w:sz w:val="20"/>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sz w:val="20"/>
                      <w:szCs w:val="22"/>
                      <w:highlight w:val="none"/>
                    </w:rPr>
                  </w:pPr>
                </w:p>
              </w:tc>
              <w:tc>
                <w:tcPr>
                  <w:tcW w:w="3665" w:type="dxa"/>
                </w:tcPr>
                <w:p>
                  <w:pPr>
                    <w:shd w:val="clear" w:color="auto" w:fill="C7DAF1" w:themeFill="text2" w:themeFillTint="32"/>
                    <w:jc w:val="left"/>
                    <w:rPr>
                      <w:sz w:val="20"/>
                      <w:szCs w:val="22"/>
                      <w:highlight w:val="none"/>
                    </w:rPr>
                  </w:pPr>
                </w:p>
              </w:tc>
              <w:tc>
                <w:tcPr>
                  <w:tcW w:w="3265" w:type="dxa"/>
                </w:tcPr>
                <w:p>
                  <w:pPr>
                    <w:shd w:val="clear" w:color="auto" w:fill="C7DAF1" w:themeFill="text2" w:themeFillTint="32"/>
                    <w:jc w:val="left"/>
                    <w:rPr>
                      <w:sz w:val="20"/>
                      <w:szCs w:val="22"/>
                      <w:highlight w:val="none"/>
                    </w:rPr>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ascii="Times New Roman" w:hAnsi="Times New Roman" w:eastAsia="宋体" w:cs="Times New Roman"/>
                <w:color w:val="000000"/>
                <w:u w:val="single"/>
              </w:rPr>
              <w:t xml:space="preserve"> </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t>□</w:t>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提供过程确认记录</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提供有出厂检验</w:t>
            </w:r>
            <w:bookmarkStart w:id="32" w:name="_GoBack"/>
            <w:bookmarkEnd w:id="32"/>
            <w:r>
              <w:rPr>
                <w:rFonts w:hint="eastAsia"/>
                <w:u w:val="single"/>
                <w:lang w:val="en-US" w:eastAsia="zh-CN"/>
              </w:rPr>
              <w:t>报告</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7-8</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23</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1494988"/>
    <w:rsid w:val="544C56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字符"/>
    <w:basedOn w:val="10"/>
    <w:link w:val="5"/>
    <w:qFormat/>
    <w:uiPriority w:val="99"/>
    <w:rPr>
      <w:rFonts w:ascii="Times New Roman" w:hAnsi="Times New Roman" w:eastAsia="宋体" w:cs="Times New Roman"/>
      <w:sz w:val="18"/>
      <w:szCs w:val="18"/>
    </w:rPr>
  </w:style>
  <w:style w:type="character" w:customStyle="1" w:styleId="15">
    <w:name w:val="页脚 字符"/>
    <w:basedOn w:val="10"/>
    <w:link w:val="4"/>
    <w:qFormat/>
    <w:uiPriority w:val="99"/>
    <w:rPr>
      <w:rFonts w:ascii="Times New Roman" w:hAnsi="Times New Roman" w:eastAsia="宋体" w:cs="Times New Roman"/>
      <w:sz w:val="18"/>
      <w:szCs w:val="18"/>
    </w:rPr>
  </w:style>
  <w:style w:type="character" w:customStyle="1" w:styleId="16">
    <w:name w:val="批注框文本 字符"/>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附录"/>
    <w:basedOn w:val="26"/>
    <w:qFormat/>
    <w:uiPriority w:val="0"/>
    <w:pPr>
      <w:ind w:firstLine="0" w:firstLineChars="0"/>
      <w:jc w:val="center"/>
    </w:pPr>
    <w:rPr>
      <w:b/>
    </w:rPr>
  </w:style>
  <w:style w:type="paragraph" w:customStyle="1" w:styleId="26">
    <w:name w:val="书目1"/>
    <w:basedOn w:val="1"/>
    <w:next w:val="1"/>
    <w:unhideWhenUsed/>
    <w:qFormat/>
    <w:uiPriority w:val="37"/>
  </w:style>
  <w:style w:type="paragraph" w:customStyle="1" w:styleId="27">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7</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2021-09-17T03:31:09Z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