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jc w:val="right"/>
        <w:rPr>
          <w:rFonts w:hint="eastAsia"/>
          <w:szCs w:val="44"/>
          <w:u w:val="single"/>
        </w:rPr>
      </w:pPr>
      <w:bookmarkStart w:id="0" w:name="合同编号"/>
      <w:bookmarkEnd w:id="0"/>
      <w:r>
        <w:rPr>
          <w:rFonts w:hint="eastAsia" w:ascii="宋体" w:hAnsi="宋体"/>
          <w:sz w:val="18"/>
        </w:rPr>
        <w:t>合同编号：</w:t>
      </w:r>
      <w:r>
        <w:rPr>
          <w:szCs w:val="44"/>
          <w:u w:val="single"/>
        </w:rPr>
        <w:t xml:space="preserve"> </w:t>
      </w:r>
      <w:r>
        <w:rPr>
          <w:rFonts w:hint="eastAsia"/>
          <w:szCs w:val="44"/>
          <w:u w:val="single"/>
        </w:rPr>
        <w:t>0542-2019-Q</w:t>
      </w:r>
    </w:p>
    <w:p>
      <w:pPr>
        <w:wordWrap w:val="0"/>
        <w:ind w:right="401" w:rightChars="191"/>
        <w:jc w:val="right"/>
        <w:rPr>
          <w:rFonts w:ascii="楷体" w:hAnsi="楷体" w:eastAsia="楷体"/>
          <w:b/>
          <w:color w:val="000000" w:themeColor="text1"/>
          <w:sz w:val="84"/>
          <w:szCs w:val="84"/>
        </w:rPr>
      </w:pPr>
    </w:p>
    <w:p>
      <w:pPr>
        <w:snapToGrid w:val="0"/>
        <w:spacing w:afterLines="30"/>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 xml:space="preserve"> 受审核方：</w:t>
      </w:r>
      <w:bookmarkStart w:id="1" w:name="组织名称"/>
      <w:r>
        <w:rPr>
          <w:rFonts w:ascii="楷体" w:hAnsi="楷体" w:eastAsia="楷体"/>
          <w:b/>
          <w:color w:val="000000" w:themeColor="text1"/>
          <w:sz w:val="32"/>
          <w:szCs w:val="32"/>
          <w:u w:val="single"/>
        </w:rPr>
        <w:t>重庆旭纳科技有限责任公司</w:t>
      </w:r>
      <w:bookmarkEnd w:id="1"/>
    </w:p>
    <w:p>
      <w:pPr>
        <w:snapToGrid w:val="0"/>
        <w:spacing w:afterLines="30"/>
        <w:rPr>
          <w:rFonts w:ascii="楷体" w:hAnsi="楷体" w:eastAsia="楷体"/>
          <w:b/>
          <w:color w:val="000000" w:themeColor="text1"/>
          <w:sz w:val="32"/>
          <w:szCs w:val="32"/>
          <w:u w:val="single"/>
        </w:rPr>
      </w:pPr>
    </w:p>
    <w:p>
      <w:pPr>
        <w:snapToGrid w:val="0"/>
        <w:spacing w:afterLines="3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Style w:val="10"/>
          <w:rFonts w:hint="eastAsia" w:ascii="楷体" w:hAnsi="楷体" w:eastAsia="楷体"/>
          <w:b/>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Style w:val="10"/>
          <w:rFonts w:hint="eastAsia" w:ascii="楷体" w:hAnsi="楷体" w:eastAsia="楷体"/>
          <w:b/>
          <w:sz w:val="36"/>
          <w:szCs w:val="36"/>
        </w:rPr>
      </w:pPr>
    </w:p>
    <w:p>
      <w:pPr>
        <w:widowControl/>
        <w:jc w:val="left"/>
        <w:rPr>
          <w:rStyle w:val="10"/>
          <w:rFonts w:hint="eastAsia" w:ascii="楷体" w:hAnsi="楷体" w:eastAsia="楷体"/>
          <w:b/>
          <w:sz w:val="36"/>
          <w:szCs w:val="36"/>
        </w:rPr>
      </w:pPr>
    </w:p>
    <w:p>
      <w:pPr>
        <w:widowControl/>
        <w:jc w:val="left"/>
        <w:rPr>
          <w:rFonts w:ascii="宋体" w:hAnsi="宋体"/>
          <w:b/>
          <w:color w:val="000000" w:themeColor="text1"/>
          <w:sz w:val="26"/>
          <w:szCs w:val="26"/>
        </w:rPr>
      </w:pPr>
      <w:r>
        <w:rPr>
          <w:rFonts w:hint="eastAsia" w:ascii="宋体" w:hAnsi="宋体"/>
          <w:b/>
          <w:color w:val="000000" w:themeColor="text1"/>
          <w:sz w:val="26"/>
          <w:szCs w:val="26"/>
        </w:rPr>
        <w:t>一、审核方基本信息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b/>
                <w:color w:val="000000" w:themeColor="text1"/>
                <w:sz w:val="20"/>
                <w:szCs w:val="20"/>
              </w:rPr>
            </w:pPr>
            <w:r>
              <w:rPr>
                <w:rFonts w:hint="eastAsia"/>
                <w:b/>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b/>
                <w:color w:val="000000" w:themeColor="text1"/>
                <w:sz w:val="20"/>
                <w:szCs w:val="20"/>
              </w:rPr>
            </w:pPr>
            <w:r>
              <w:rPr>
                <w:rFonts w:hint="eastAsia"/>
                <w:b/>
                <w:color w:val="000000" w:themeColor="text1"/>
                <w:sz w:val="20"/>
                <w:szCs w:val="20"/>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b/>
                <w:color w:val="000000" w:themeColor="text1"/>
                <w:sz w:val="20"/>
                <w:szCs w:val="20"/>
              </w:rPr>
              <w:t>姓名</w:t>
            </w:r>
          </w:p>
        </w:tc>
        <w:tc>
          <w:tcPr>
            <w:tcW w:w="992" w:type="dxa"/>
            <w:vAlign w:val="center"/>
          </w:tcPr>
          <w:p>
            <w:pPr>
              <w:spacing w:line="240" w:lineRule="exact"/>
              <w:jc w:val="center"/>
              <w:rPr>
                <w:b/>
                <w:color w:val="000000" w:themeColor="text1"/>
                <w:sz w:val="20"/>
                <w:szCs w:val="20"/>
              </w:rPr>
            </w:pPr>
            <w:r>
              <w:rPr>
                <w:rFonts w:hint="eastAsia"/>
                <w:b/>
                <w:color w:val="000000" w:themeColor="text1"/>
                <w:sz w:val="20"/>
                <w:szCs w:val="20"/>
              </w:rPr>
              <w:t>组内身份</w:t>
            </w:r>
          </w:p>
        </w:tc>
        <w:tc>
          <w:tcPr>
            <w:tcW w:w="1216" w:type="dxa"/>
            <w:vAlign w:val="center"/>
          </w:tcPr>
          <w:p>
            <w:pPr>
              <w:spacing w:line="240" w:lineRule="exact"/>
              <w:jc w:val="center"/>
              <w:rPr>
                <w:b/>
                <w:color w:val="000000" w:themeColor="text1"/>
                <w:sz w:val="20"/>
                <w:szCs w:val="20"/>
              </w:rPr>
            </w:pPr>
            <w:r>
              <w:rPr>
                <w:rFonts w:hint="eastAsia"/>
                <w:b/>
                <w:color w:val="000000" w:themeColor="text1"/>
                <w:sz w:val="20"/>
                <w:szCs w:val="20"/>
              </w:rPr>
              <w:t>性别</w:t>
            </w:r>
          </w:p>
        </w:tc>
        <w:tc>
          <w:tcPr>
            <w:tcW w:w="3478" w:type="dxa"/>
            <w:gridSpan w:val="3"/>
            <w:vAlign w:val="center"/>
          </w:tcPr>
          <w:p>
            <w:pPr>
              <w:spacing w:line="240" w:lineRule="exact"/>
              <w:jc w:val="center"/>
              <w:rPr>
                <w:b/>
                <w:color w:val="000000" w:themeColor="text1"/>
                <w:sz w:val="20"/>
                <w:szCs w:val="20"/>
              </w:rPr>
            </w:pPr>
            <w:r>
              <w:rPr>
                <w:rFonts w:hint="eastAsia"/>
                <w:b/>
                <w:color w:val="000000" w:themeColor="text1"/>
                <w:sz w:val="20"/>
                <w:szCs w:val="20"/>
              </w:rPr>
              <w:t>注册资格</w:t>
            </w:r>
          </w:p>
        </w:tc>
        <w:tc>
          <w:tcPr>
            <w:tcW w:w="2333" w:type="dxa"/>
            <w:gridSpan w:val="2"/>
            <w:vAlign w:val="center"/>
          </w:tcPr>
          <w:p>
            <w:pPr>
              <w:spacing w:line="240" w:lineRule="exact"/>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29.10.07,33.02.02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冷校</w:t>
            </w:r>
            <w:r>
              <w:rPr>
                <w:rFonts w:hint="eastAsia"/>
                <w:b/>
                <w:color w:val="000000" w:themeColor="text1"/>
                <w:sz w:val="20"/>
                <w:szCs w:val="20"/>
              </w:rPr>
              <w:t>（见证Q）</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ind w:left="-851" w:firstLine="0" w:firstLineChars="0"/>
        <w:rPr>
          <w:rFonts w:ascii="宋体" w:hAnsi="宋体"/>
          <w:b/>
          <w:color w:val="000000" w:themeColor="text1"/>
          <w:sz w:val="26"/>
          <w:szCs w:val="26"/>
        </w:rPr>
      </w:pPr>
      <w:r>
        <w:rPr>
          <w:rFonts w:hint="eastAsia" w:ascii="宋体" w:hAnsi="宋体"/>
          <w:b/>
          <w:color w:val="000000" w:themeColor="text1"/>
          <w:sz w:val="26"/>
          <w:szCs w:val="26"/>
        </w:rPr>
        <w:t>二、审核目的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ind w:firstLine="0" w:firstLineChars="0"/>
        <w:rPr>
          <w:rFonts w:ascii="宋体" w:hAnsi="宋体"/>
          <w:b/>
          <w:color w:val="000000" w:themeColor="text1"/>
          <w:sz w:val="26"/>
          <w:szCs w:val="26"/>
        </w:rPr>
      </w:pPr>
      <w:r>
        <w:rPr>
          <w:rFonts w:hint="eastAsia" w:ascii="宋体" w:hAnsi="宋体"/>
          <w:b/>
          <w:color w:val="000000" w:themeColor="text1"/>
          <w:sz w:val="26"/>
          <w:szCs w:val="26"/>
        </w:rPr>
        <w:t>三、审核准则</w:t>
      </w:r>
    </w:p>
    <w:p>
      <w:pPr>
        <w:pStyle w:val="11"/>
        <w:ind w:left="540" w:firstLine="0" w:firstLineChars="0"/>
        <w:jc w:val="left"/>
        <w:rPr>
          <w:rFonts w:hint="eastAsia" w:ascii="宋体" w:hAnsi="宋体"/>
          <w:b/>
          <w:color w:val="000000" w:themeColor="text1"/>
          <w:spacing w:val="-10"/>
          <w:sz w:val="20"/>
          <w:szCs w:val="20"/>
          <w:lang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eastAsia="zh-CN"/>
        </w:rPr>
        <w:t>无</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pacing w:val="-10"/>
          <w:sz w:val="20"/>
          <w:szCs w:val="20"/>
        </w:rPr>
        <w:t>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pacing w:val="-10"/>
          <w:sz w:val="20"/>
          <w:szCs w:val="20"/>
        </w:rPr>
        <w:t>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851" w:firstLine="0"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重庆旭纳科技有限责任公司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重庆市九龙坡区科园四路170号4-1023</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重庆市九龙坡区科园四路170号4-1023</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贺豫</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023-88110379</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刘鉴锋</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贺豫</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计算机信息系统集成,社会公共安全设备的销售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29.10.07;33.02.02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2019-01-01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w:t>
            </w:r>
            <w:r>
              <w:rPr>
                <w:rFonts w:hint="eastAsia" w:ascii="宋体" w:hAnsi="宋体"/>
                <w:b/>
                <w:color w:val="000000" w:themeColor="text1"/>
                <w:sz w:val="20"/>
                <w:szCs w:val="20"/>
                <w:lang w:eastAsia="zh-CN"/>
              </w:rPr>
              <w:t>研发技术部</w:t>
            </w:r>
            <w:r>
              <w:rPr>
                <w:rFonts w:hint="eastAsia" w:ascii="宋体" w:hAnsi="宋体"/>
                <w:b/>
                <w:color w:val="000000" w:themeColor="text1"/>
                <w:sz w:val="20"/>
                <w:szCs w:val="20"/>
              </w:rPr>
              <w:t>（</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人事行政部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研发技术部</w:t>
            </w:r>
            <w:r>
              <w:rPr>
                <w:rFonts w:hint="eastAsia" w:ascii="宋体" w:hAnsi="宋体"/>
                <w:b/>
                <w:color w:val="000000" w:themeColor="text1"/>
                <w:sz w:val="20"/>
                <w:szCs w:val="20"/>
                <w:lang w:val="en-US" w:eastAsia="zh-CN"/>
              </w:rPr>
              <w:t>/销售部/采购部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采购管理；合同管理；供方管理；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49"/>
        <w:gridCol w:w="820"/>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4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20" w:type="dxa"/>
          </w:tcPr>
          <w:p>
            <w:pPr>
              <w:rPr>
                <w:b/>
                <w:color w:val="000000" w:themeColor="text1"/>
                <w:sz w:val="20"/>
                <w:szCs w:val="20"/>
              </w:rPr>
            </w:pPr>
            <w:r>
              <w:rPr>
                <w:rFonts w:hint="eastAsia"/>
                <w:b/>
                <w:color w:val="000000" w:themeColor="text1"/>
                <w:sz w:val="20"/>
                <w:szCs w:val="20"/>
              </w:rPr>
              <w:t>规格</w:t>
            </w:r>
          </w:p>
        </w:tc>
        <w:tc>
          <w:tcPr>
            <w:tcW w:w="603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FF0000"/>
                <w:sz w:val="20"/>
                <w:szCs w:val="20"/>
              </w:rPr>
            </w:pPr>
            <w:r>
              <w:rPr>
                <w:rFonts w:hint="eastAsia" w:ascii="宋体" w:hAnsi="宋体"/>
                <w:szCs w:val="21"/>
              </w:rPr>
              <w:t xml:space="preserve">计算机信息系统集成,社会公共安全设备的销售 </w:t>
            </w:r>
          </w:p>
        </w:tc>
        <w:tc>
          <w:tcPr>
            <w:tcW w:w="1049" w:type="dxa"/>
          </w:tcPr>
          <w:p>
            <w:pPr>
              <w:rPr>
                <w:b/>
                <w:sz w:val="20"/>
                <w:szCs w:val="20"/>
              </w:rPr>
            </w:pPr>
            <w:r>
              <w:rPr>
                <w:rFonts w:hint="eastAsia"/>
                <w:b/>
                <w:sz w:val="20"/>
                <w:szCs w:val="20"/>
              </w:rPr>
              <w:t>服务</w:t>
            </w:r>
          </w:p>
        </w:tc>
        <w:tc>
          <w:tcPr>
            <w:tcW w:w="820" w:type="dxa"/>
          </w:tcPr>
          <w:p>
            <w:pPr>
              <w:rPr>
                <w:b/>
                <w:color w:val="000000" w:themeColor="text1"/>
                <w:sz w:val="20"/>
                <w:szCs w:val="20"/>
              </w:rPr>
            </w:pPr>
          </w:p>
        </w:tc>
        <w:tc>
          <w:tcPr>
            <w:tcW w:w="6036" w:type="dxa"/>
          </w:tcPr>
          <w:p>
            <w:pPr>
              <w:spacing w:line="400" w:lineRule="exact"/>
              <w:rPr>
                <w:b/>
                <w:sz w:val="20"/>
                <w:szCs w:val="20"/>
              </w:rPr>
            </w:pPr>
            <w:r>
              <w:rPr>
                <w:rFonts w:hint="eastAsia" w:ascii="宋体" w:hAnsi="宋体"/>
                <w:sz w:val="21"/>
                <w:szCs w:val="21"/>
              </w:rPr>
              <w:t>《智能建筑设计标准》GB/T 50314-2006</w:t>
            </w:r>
            <w:r>
              <w:rPr>
                <w:rFonts w:hint="eastAsia" w:ascii="宋体" w:hAnsi="宋体"/>
                <w:sz w:val="21"/>
                <w:szCs w:val="21"/>
                <w:lang w:eastAsia="zh-CN"/>
              </w:rPr>
              <w:t>、</w:t>
            </w:r>
            <w:r>
              <w:rPr>
                <w:rFonts w:hint="eastAsia" w:ascii="宋体" w:hAnsi="宋体"/>
                <w:sz w:val="21"/>
                <w:szCs w:val="21"/>
              </w:rPr>
              <w:t>《智能建筑工程质量验收规范》GB50339-2003《安全防范工程技术规范》GB50348-2004</w:t>
            </w:r>
            <w:r>
              <w:rPr>
                <w:rFonts w:hint="eastAsia" w:ascii="宋体" w:hAnsi="宋体"/>
                <w:sz w:val="21"/>
                <w:szCs w:val="21"/>
                <w:lang w:eastAsia="zh-CN"/>
              </w:rPr>
              <w:t>、</w:t>
            </w:r>
            <w:r>
              <w:rPr>
                <w:rFonts w:hint="eastAsia" w:ascii="宋体" w:hAnsi="宋体"/>
                <w:sz w:val="21"/>
                <w:szCs w:val="21"/>
              </w:rPr>
              <w:t>《民用闭路监视电视系统工程技术规范》GB50198-94</w:t>
            </w:r>
            <w:r>
              <w:rPr>
                <w:rFonts w:hint="eastAsia" w:ascii="宋体" w:hAnsi="宋体"/>
                <w:sz w:val="21"/>
                <w:szCs w:val="21"/>
                <w:lang w:eastAsia="zh-CN"/>
              </w:rPr>
              <w:t>、</w:t>
            </w:r>
            <w:r>
              <w:rPr>
                <w:rFonts w:hint="eastAsia" w:ascii="宋体" w:hAnsi="宋体"/>
                <w:sz w:val="21"/>
                <w:szCs w:val="21"/>
              </w:rPr>
              <w:t>《视频安防监控系统工程设计规范》GB50395-2007</w:t>
            </w:r>
            <w:r>
              <w:rPr>
                <w:rFonts w:hint="eastAsia" w:ascii="宋体" w:hAnsi="宋体"/>
                <w:sz w:val="21"/>
                <w:szCs w:val="21"/>
                <w:lang w:eastAsia="zh-CN"/>
              </w:rPr>
              <w:t>、</w:t>
            </w:r>
            <w:r>
              <w:rPr>
                <w:rFonts w:hint="eastAsia" w:ascii="宋体" w:hAnsi="宋体"/>
                <w:sz w:val="21"/>
                <w:szCs w:val="21"/>
              </w:rPr>
              <w:t>《视频安防监控数字录像设备》GB20815-2006</w:t>
            </w:r>
            <w:r>
              <w:rPr>
                <w:rFonts w:hint="eastAsia" w:ascii="宋体" w:hAnsi="宋体"/>
                <w:sz w:val="21"/>
                <w:szCs w:val="21"/>
                <w:lang w:eastAsia="zh-CN"/>
              </w:rPr>
              <w:t>、</w:t>
            </w:r>
            <w:r>
              <w:rPr>
                <w:rFonts w:hint="eastAsia" w:ascii="宋体" w:hAnsi="宋体"/>
                <w:sz w:val="21"/>
                <w:szCs w:val="21"/>
              </w:rPr>
              <w:t>《民用建筑电气设计规范》JGJ/T16-92</w:t>
            </w:r>
            <w:r>
              <w:rPr>
                <w:rFonts w:hint="eastAsia" w:ascii="宋体" w:hAnsi="宋体"/>
                <w:sz w:val="21"/>
                <w:szCs w:val="21"/>
                <w:lang w:eastAsia="zh-CN"/>
              </w:rPr>
              <w:t>、</w:t>
            </w:r>
            <w:r>
              <w:rPr>
                <w:rFonts w:hint="eastAsia" w:ascii="宋体" w:hAnsi="宋体"/>
                <w:sz w:val="21"/>
                <w:szCs w:val="21"/>
              </w:rPr>
              <w:t>《金属线槽配线安装工艺标准》（313-1998）</w:t>
            </w:r>
            <w:r>
              <w:rPr>
                <w:rFonts w:hint="eastAsia" w:ascii="宋体" w:hAnsi="宋体"/>
                <w:sz w:val="21"/>
                <w:szCs w:val="21"/>
                <w:lang w:eastAsia="zh-CN"/>
              </w:rPr>
              <w:t>、</w:t>
            </w:r>
            <w:r>
              <w:rPr>
                <w:rFonts w:hint="eastAsia" w:ascii="宋体" w:hAnsi="宋体"/>
                <w:sz w:val="21"/>
                <w:szCs w:val="21"/>
              </w:rPr>
              <w:t>《钢管敷设工艺标准》（305-1998）</w:t>
            </w:r>
            <w:r>
              <w:rPr>
                <w:rFonts w:hint="eastAsia" w:ascii="宋体" w:hAnsi="宋体"/>
                <w:sz w:val="21"/>
                <w:szCs w:val="21"/>
                <w:lang w:eastAsia="zh-CN"/>
              </w:rPr>
              <w:t>、</w:t>
            </w:r>
            <w:r>
              <w:rPr>
                <w:rFonts w:hint="eastAsia" w:ascii="宋体" w:hAnsi="宋体"/>
                <w:sz w:val="21"/>
                <w:szCs w:val="21"/>
              </w:rPr>
              <w:t>《安全防范工程程序要求》（GB-T75-94）等</w:t>
            </w:r>
            <w:r>
              <w:rPr>
                <w:rFonts w:hint="eastAsia" w:ascii="宋体" w:hAnsi="宋体"/>
                <w:color w:val="auto"/>
                <w:kern w:val="2"/>
                <w:sz w:val="21"/>
                <w:szCs w:val="21"/>
                <w:lang w:val="en-US" w:eastAsia="zh-CN" w:bidi="ar-SA"/>
              </w:rPr>
              <w:t>标准</w:t>
            </w:r>
            <w:r>
              <w:rPr>
                <w:rStyle w:val="17"/>
                <w:rFonts w:hint="eastAsia"/>
                <w:color w:val="auto"/>
              </w:rPr>
              <w:t>和客户要求</w:t>
            </w:r>
            <w:r>
              <w:rPr>
                <w:rFonts w:hint="eastAsia" w:ascii="宋体" w:hAnsi="宋体"/>
                <w:szCs w:val="21"/>
              </w:rPr>
              <w:t>等标准。</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17" w:name="OLE_LINK1"/>
      <w:r>
        <w:rPr>
          <w:rFonts w:hint="eastAsia"/>
          <w:b/>
          <w:color w:val="000000" w:themeColor="text1"/>
          <w:spacing w:val="-10"/>
          <w:szCs w:val="21"/>
        </w:rPr>
        <w:t xml:space="preserve"> 1日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组织对内外部因素、相关方需求和期望进行了充分的识别，策划和实施有效。组织确定了体系的边界，基本适用。管理体系条款</w:t>
            </w:r>
            <w:r>
              <w:rPr>
                <w:rFonts w:hint="eastAsia" w:ascii="宋体" w:hAnsi="宋体"/>
                <w:color w:val="000000" w:themeColor="text1"/>
                <w:lang w:eastAsia="zh-CN"/>
              </w:rPr>
              <w:t>无</w:t>
            </w:r>
            <w:r>
              <w:rPr>
                <w:rFonts w:hint="eastAsia" w:ascii="宋体" w:hAnsi="宋体"/>
                <w:color w:val="000000" w:themeColor="text1"/>
              </w:rPr>
              <w:t>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szCs w:val="21"/>
              </w:rPr>
              <w:t>质量方针：</w:t>
            </w:r>
            <w:r>
              <w:rPr>
                <w:rFonts w:hint="eastAsia" w:ascii="宋体" w:hAnsi="宋体"/>
                <w:szCs w:val="21"/>
                <w:lang w:eastAsia="zh-CN"/>
              </w:rPr>
              <w:t>勇于创新、持续发展企业、品质一流、满足客户需求。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630" w:firstLineChars="3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质量管理体系过程有：合同评审、生产</w:t>
            </w:r>
            <w:r>
              <w:rPr>
                <w:rFonts w:hint="eastAsia" w:ascii="宋体" w:hAnsi="宋体"/>
                <w:b/>
                <w:color w:val="000000" w:themeColor="text1"/>
                <w:sz w:val="20"/>
                <w:szCs w:val="20"/>
                <w:lang w:eastAsia="zh-CN"/>
              </w:rPr>
              <w:t>经营</w:t>
            </w:r>
            <w:r>
              <w:rPr>
                <w:rFonts w:hint="eastAsia" w:ascii="宋体" w:hAnsi="宋体"/>
                <w:b/>
                <w:color w:val="000000" w:themeColor="text1"/>
                <w:sz w:val="20"/>
                <w:szCs w:val="20"/>
              </w:rPr>
              <w:t>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安装</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隐蔽工程、销售过程</w:t>
            </w:r>
            <w:r>
              <w:rPr>
                <w:rFonts w:hint="eastAsia" w:ascii="宋体" w:hAnsi="宋体"/>
                <w:b/>
                <w:color w:val="000000" w:themeColor="text1"/>
                <w:sz w:val="20"/>
                <w:szCs w:val="20"/>
              </w:rPr>
              <w:t xml:space="preserve">。  </w:t>
            </w:r>
          </w:p>
          <w:p>
            <w:pPr>
              <w:spacing w:line="400" w:lineRule="exact"/>
              <w:rPr>
                <w:rFonts w:ascii="宋体" w:hAnsi="宋体"/>
                <w:b/>
                <w:color w:val="000000" w:themeColor="text1"/>
                <w:szCs w:val="21"/>
              </w:rPr>
            </w:pPr>
            <w:r>
              <w:rPr>
                <w:rFonts w:ascii="宋体" w:hAnsi="宋体"/>
                <w:b/>
                <w:color w:val="000000" w:themeColor="text1"/>
                <w:sz w:val="20"/>
                <w:szCs w:val="20"/>
              </w:rPr>
              <w:pict>
                <v:shape id="_x0000_s1031" o:spid="_x0000_s1031" o:spt="32" type="#_x0000_t32" style="position:absolute;left:0pt;margin-left:55.15pt;margin-top:21.2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hint="eastAsia" w:asciiTheme="minorEastAsia" w:hAnsiTheme="minorEastAsia" w:eastAsiaTheme="minorEastAsia"/>
                <w:b/>
                <w:color w:val="000000" w:themeColor="text1"/>
                <w:sz w:val="20"/>
                <w:szCs w:val="20"/>
                <w:lang w:eastAsia="zh-CN"/>
              </w:rPr>
            </w:pPr>
            <w:r>
              <w:rPr>
                <w:rFonts w:hint="eastAsia" w:asciiTheme="minorEastAsia" w:hAnsiTheme="minorEastAsia" w:eastAsiaTheme="minorEastAsia"/>
                <w:bCs/>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hint="eastAsia" w:ascii="宋体" w:hAnsi="宋体" w:eastAsia="宋体"/>
                <w:b/>
                <w:color w:val="000000" w:themeColor="text1"/>
                <w:spacing w:val="-8"/>
                <w:sz w:val="20"/>
                <w:szCs w:val="20"/>
                <w:lang w:eastAsia="zh-CN"/>
              </w:rPr>
            </w:pP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rPr>
                <w:rFonts w:hint="eastAsia" w:ascii="宋体" w:hAnsi="宋体"/>
                <w:szCs w:val="21"/>
              </w:rPr>
            </w:pPr>
            <w:r>
              <w:rPr>
                <w:rFonts w:hint="eastAsia" w:ascii="宋体" w:hAnsi="宋体"/>
                <w:szCs w:val="21"/>
              </w:rPr>
              <w:t>质量目标</w:t>
            </w:r>
          </w:p>
          <w:p>
            <w:pPr>
              <w:spacing w:line="400" w:lineRule="exact"/>
              <w:rPr>
                <w:rFonts w:ascii="宋体" w:hAnsi="宋体" w:cs="宋体"/>
                <w:color w:val="FF0000"/>
                <w:szCs w:val="21"/>
              </w:rPr>
            </w:pPr>
            <w:r>
              <w:rPr>
                <w:rFonts w:hint="eastAsia" w:ascii="宋体" w:hAnsi="宋体"/>
                <w:szCs w:val="21"/>
                <w:lang w:val="en-US" w:eastAsia="zh-CN"/>
              </w:rPr>
              <w:t>a、重大质量/安全事故为0；</w:t>
            </w:r>
            <w:r>
              <w:rPr>
                <w:rFonts w:hint="eastAsia" w:ascii="宋体" w:hAnsi="宋体"/>
                <w:szCs w:val="21"/>
                <w:lang w:val="en-US" w:eastAsia="zh-CN"/>
              </w:rPr>
              <w:br w:type="textWrapping"/>
            </w:r>
            <w:r>
              <w:rPr>
                <w:rFonts w:hint="eastAsia" w:ascii="宋体" w:hAnsi="宋体"/>
                <w:szCs w:val="21"/>
                <w:lang w:val="en-US" w:eastAsia="zh-CN"/>
              </w:rPr>
              <w:t>b、客户满意率90%以上</w:t>
            </w:r>
            <w:r>
              <w:rPr>
                <w:rFonts w:hint="eastAsia" w:ascii="宋体" w:hAnsi="宋体"/>
                <w:szCs w:val="21"/>
                <w:lang w:val="en-US" w:eastAsia="zh-CN"/>
              </w:rPr>
              <w:br w:type="textWrapping"/>
            </w:r>
            <w:r>
              <w:rPr>
                <w:rFonts w:hint="eastAsia" w:ascii="宋体" w:hAnsi="宋体"/>
                <w:szCs w:val="21"/>
                <w:lang w:val="en-US" w:eastAsia="zh-CN"/>
              </w:rPr>
              <w:t xml:space="preserve">C、集成项目一次交验合格率≥98%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630" w:firstLineChars="3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计算机信息系统集成,社会公共安全设备的销售的</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设备设施（包括信息系统）、</w:t>
            </w:r>
          </w:p>
          <w:p>
            <w:pPr>
              <w:spacing w:line="400" w:lineRule="exact"/>
              <w:ind w:firstLine="420" w:firstLineChars="200"/>
              <w:rPr>
                <w:rFonts w:ascii="宋体" w:hAnsi="宋体"/>
                <w:b/>
                <w:sz w:val="20"/>
                <w:szCs w:val="20"/>
              </w:rPr>
            </w:pPr>
            <w:r>
              <w:rPr>
                <w:rFonts w:hint="eastAsia" w:ascii="宋体" w:hAnsi="宋体" w:cs="宋体"/>
                <w:sz w:val="21"/>
                <w:szCs w:val="21"/>
              </w:rPr>
              <w:t>办公面积</w:t>
            </w:r>
            <w:r>
              <w:rPr>
                <w:rFonts w:hint="eastAsia" w:ascii="宋体" w:hAnsi="宋体" w:cs="宋体"/>
                <w:sz w:val="21"/>
                <w:szCs w:val="21"/>
                <w:lang w:val="en-US" w:eastAsia="zh-CN"/>
              </w:rPr>
              <w:t>80</w:t>
            </w:r>
            <w:r>
              <w:rPr>
                <w:rFonts w:hint="eastAsia" w:ascii="宋体" w:hAnsi="宋体" w:cs="宋体"/>
                <w:sz w:val="21"/>
                <w:szCs w:val="21"/>
              </w:rPr>
              <w:t>平方</w:t>
            </w:r>
            <w:r>
              <w:rPr>
                <w:rFonts w:hint="eastAsia" w:ascii="宋体" w:hAnsi="宋体" w:cs="宋体"/>
                <w:sz w:val="21"/>
                <w:szCs w:val="21"/>
                <w:lang w:eastAsia="zh-CN"/>
              </w:rPr>
              <w:t>米</w:t>
            </w:r>
            <w:r>
              <w:rPr>
                <w:rFonts w:hint="eastAsia" w:ascii="宋体" w:hAnsi="宋体" w:cs="宋体"/>
                <w:sz w:val="21"/>
                <w:szCs w:val="21"/>
              </w:rPr>
              <w:t>左右，主要为</w:t>
            </w:r>
            <w:r>
              <w:rPr>
                <w:rFonts w:hint="eastAsia" w:ascii="宋体" w:hAnsi="宋体" w:cs="宋体"/>
                <w:sz w:val="21"/>
                <w:szCs w:val="21"/>
                <w:lang w:eastAsia="zh-CN"/>
              </w:rPr>
              <w:t>销售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和行政部门使用。</w:t>
            </w:r>
            <w:r>
              <w:rPr>
                <w:rFonts w:hint="eastAsia" w:ascii="宋体" w:hAnsi="宋体" w:cs="宋体"/>
                <w:sz w:val="21"/>
                <w:szCs w:val="21"/>
                <w:lang w:eastAsia="zh-CN"/>
              </w:rPr>
              <w:t>库房与办公区域分开，库房有</w:t>
            </w:r>
            <w:r>
              <w:rPr>
                <w:rFonts w:hint="eastAsia" w:ascii="宋体" w:hAnsi="宋体" w:cs="宋体"/>
                <w:sz w:val="21"/>
                <w:szCs w:val="21"/>
                <w:lang w:val="en-US" w:eastAsia="zh-CN"/>
              </w:rPr>
              <w:t>60平方左右</w:t>
            </w:r>
            <w:r>
              <w:rPr>
                <w:rFonts w:hint="eastAsia" w:ascii="宋体" w:hAnsi="宋体"/>
                <w:szCs w:val="21"/>
              </w:rPr>
              <w:t>，主要生产设备包括电脑、打印机、复印机、压线钳、电锤、穿管器、人字梯、五金工具等设备，可以满足</w:t>
            </w:r>
            <w:r>
              <w:rPr>
                <w:rFonts w:hint="eastAsia" w:ascii="宋体" w:hAnsi="宋体"/>
                <w:szCs w:val="21"/>
              </w:rPr>
              <w:t>计算机信息系统集成,社会公共安全设备的销售的需要。对设备按要求维护保养，并实施。特种设备：无。公司未建立信息管理系统用于生产和服务。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过程运行环境</w:t>
            </w:r>
          </w:p>
          <w:p>
            <w:pPr>
              <w:spacing w:line="240" w:lineRule="exact"/>
              <w:ind w:firstLine="420" w:firstLineChars="200"/>
              <w:rPr>
                <w:rFonts w:ascii="宋体" w:hAnsi="宋体"/>
                <w:b/>
                <w:sz w:val="20"/>
                <w:szCs w:val="20"/>
              </w:rPr>
            </w:pPr>
            <w:r>
              <w:rPr>
                <w:rFonts w:hint="eastAsia" w:ascii="宋体" w:hAnsi="宋体"/>
                <w:szCs w:val="21"/>
              </w:rPr>
              <w:t>作业场所及办公设备布置合理，通道畅通，照明设施齐全，均配备了消防设施等设施。办公室、</w:t>
            </w:r>
            <w:r>
              <w:rPr>
                <w:rFonts w:hint="eastAsia" w:ascii="宋体" w:hAnsi="宋体"/>
                <w:szCs w:val="21"/>
                <w:lang w:eastAsia="zh-CN"/>
              </w:rPr>
              <w:t>作业场所</w:t>
            </w:r>
            <w:r>
              <w:rPr>
                <w:rFonts w:hint="eastAsia" w:ascii="宋体" w:hAnsi="宋体"/>
                <w:szCs w:val="21"/>
              </w:rPr>
              <w:t>明亮，场内光线较充足。每月由</w:t>
            </w:r>
            <w:r>
              <w:rPr>
                <w:rFonts w:hint="eastAsia" w:ascii="宋体" w:hAnsi="宋体"/>
                <w:szCs w:val="21"/>
                <w:lang w:eastAsia="zh-CN"/>
              </w:rPr>
              <w:t>人事行政部</w:t>
            </w:r>
            <w:r>
              <w:rPr>
                <w:rFonts w:hint="eastAsia" w:ascii="宋体" w:hAnsi="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监视和测量资源</w:t>
            </w:r>
          </w:p>
          <w:p>
            <w:pPr>
              <w:spacing w:line="240" w:lineRule="exact"/>
              <w:ind w:firstLine="420" w:firstLineChars="200"/>
              <w:rPr>
                <w:rFonts w:ascii="宋体" w:hAnsi="宋体"/>
                <w:b/>
                <w:sz w:val="20"/>
                <w:szCs w:val="20"/>
              </w:rPr>
            </w:pPr>
            <w:r>
              <w:rPr>
                <w:rFonts w:hint="eastAsia" w:ascii="宋体" w:hAnsi="宋体" w:cs="宋体"/>
                <w:szCs w:val="21"/>
              </w:rPr>
              <w:t>质量部门均按策划的要求配置了相应的检测设备，其中包含</w:t>
            </w:r>
            <w:r>
              <w:rPr>
                <w:rFonts w:hint="eastAsia" w:ascii="宋体" w:hAnsi="宋体"/>
                <w:sz w:val="21"/>
                <w:szCs w:val="21"/>
                <w:lang w:eastAsia="zh-CN"/>
              </w:rPr>
              <w:t>万用表</w:t>
            </w:r>
            <w:r>
              <w:rPr>
                <w:rFonts w:hint="eastAsia" w:ascii="宋体" w:hAnsi="宋体"/>
                <w:sz w:val="21"/>
                <w:szCs w:val="21"/>
              </w:rPr>
              <w:t>、</w:t>
            </w:r>
            <w:r>
              <w:rPr>
                <w:rFonts w:hint="eastAsia" w:ascii="宋体" w:hAnsi="宋体"/>
                <w:sz w:val="21"/>
                <w:szCs w:val="21"/>
                <w:lang w:val="en-US" w:eastAsia="zh-CN"/>
              </w:rPr>
              <w:t>线缆</w:t>
            </w:r>
            <w:r>
              <w:rPr>
                <w:rFonts w:hint="eastAsia" w:ascii="宋体" w:hAnsi="宋体"/>
                <w:color w:val="000000" w:themeColor="text1"/>
                <w:sz w:val="21"/>
                <w:szCs w:val="21"/>
                <w:lang w:val="en-US" w:eastAsia="zh-CN"/>
                <w14:textFill>
                  <w14:solidFill>
                    <w14:schemeClr w14:val="tx1"/>
                  </w14:solidFill>
                </w14:textFill>
              </w:rPr>
              <w:t>测试仪</w:t>
            </w:r>
            <w:r>
              <w:rPr>
                <w:rFonts w:hint="eastAsia" w:ascii="宋体" w:hAnsi="宋体"/>
                <w:color w:val="000000" w:themeColor="text1"/>
                <w:sz w:val="21"/>
                <w:szCs w:val="21"/>
                <w14:textFill>
                  <w14:solidFill>
                    <w14:schemeClr w14:val="tx1"/>
                  </w14:solidFill>
                </w14:textFill>
              </w:rPr>
              <w:t>等</w:t>
            </w:r>
            <w:r>
              <w:rPr>
                <w:rFonts w:hint="eastAsia" w:ascii="宋体" w:hAnsi="宋体" w:cs="宋体"/>
                <w:color w:val="000000" w:themeColor="text1"/>
                <w:szCs w:val="21"/>
                <w14:textFill>
                  <w14:solidFill>
                    <w14:schemeClr w14:val="tx1"/>
                  </w14:solidFill>
                </w14:textFill>
              </w:rPr>
              <w:t>等。查</w:t>
            </w:r>
            <w:r>
              <w:rPr>
                <w:rFonts w:hint="eastAsia" w:ascii="宋体" w:hAnsi="宋体" w:cs="宋体"/>
                <w:color w:val="000000" w:themeColor="text1"/>
                <w:szCs w:val="21"/>
                <w:lang w:eastAsia="zh-CN"/>
                <w14:textFill>
                  <w14:solidFill>
                    <w14:schemeClr w14:val="tx1"/>
                  </w14:solidFill>
                </w14:textFill>
              </w:rPr>
              <w:t>研发技术中心</w:t>
            </w:r>
            <w:r>
              <w:rPr>
                <w:rFonts w:hint="eastAsia" w:ascii="宋体" w:hAnsi="宋体" w:cs="宋体"/>
                <w:color w:val="000000" w:themeColor="text1"/>
                <w:szCs w:val="21"/>
                <w14:textFill>
                  <w14:solidFill>
                    <w14:schemeClr w14:val="tx1"/>
                  </w14:solidFill>
                </w14:textFill>
              </w:rPr>
              <w:t>按规定，对所有的检测设备进行了规定的检验及校准。采取委外方式进行，不能提供有校准证书。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olor w:val="000000" w:themeColor="text1"/>
                <w:sz w:val="20"/>
                <w:szCs w:val="20"/>
                <w:lang w:val="en-US" w:eastAsia="zh-CN"/>
              </w:rPr>
            </w:pPr>
            <w:r>
              <w:rPr>
                <w:rFonts w:hint="eastAsia" w:ascii="宋体" w:hAnsi="宋体"/>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color w:val="000000" w:themeColor="text1"/>
                <w:sz w:val="20"/>
                <w:szCs w:val="20"/>
                <w:lang w:val="en-US" w:eastAsia="zh-CN"/>
              </w:rPr>
            </w:pPr>
            <w:r>
              <w:rPr>
                <w:rFonts w:hint="eastAsia" w:ascii="宋体" w:hAnsi="宋体"/>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w:t>
            </w:r>
          </w:p>
          <w:p>
            <w:pPr>
              <w:spacing w:line="240" w:lineRule="exact"/>
              <w:rPr>
                <w:rFonts w:hint="eastAsia" w:eastAsia="楷体_GB2312"/>
                <w:szCs w:val="21"/>
                <w:lang w:val="en-US" w:eastAsia="zh-CN"/>
              </w:rPr>
            </w:pPr>
            <w:r>
              <w:rPr>
                <w:rFonts w:hint="eastAsia" w:ascii="楷体_GB2312" w:eastAsia="楷体_GB2312"/>
                <w:b/>
                <w:color w:val="000000" w:themeColor="text1"/>
                <w:sz w:val="20"/>
                <w:szCs w:val="20"/>
              </w:rPr>
              <w:t>重要环境因素信息对外交流情况（EMS填写）：</w:t>
            </w:r>
            <w:r>
              <w:rPr>
                <w:rFonts w:hint="eastAsia" w:eastAsia="楷体_GB2312"/>
                <w:szCs w:val="21"/>
                <w:lang w:val="en-US" w:eastAsia="zh-CN"/>
              </w:rPr>
              <w:t>\</w:t>
            </w:r>
          </w:p>
          <w:p>
            <w:pPr>
              <w:spacing w:line="240" w:lineRule="exact"/>
              <w:rPr>
                <w:rFonts w:hint="eastAsia" w:ascii="楷体_GB2312" w:eastAsia="楷体_GB2312"/>
                <w:b/>
                <w:color w:val="000000" w:themeColor="text1"/>
                <w:szCs w:val="21"/>
                <w:lang w:eastAsia="zh-CN"/>
              </w:rPr>
            </w:pPr>
            <w:r>
              <w:rPr>
                <w:rFonts w:hint="eastAsia" w:ascii="楷体_GB2312" w:eastAsia="楷体_GB2312"/>
                <w:b/>
                <w:color w:val="000000" w:themeColor="text1"/>
                <w:sz w:val="20"/>
                <w:szCs w:val="20"/>
              </w:rPr>
              <w:t>OHSMS事务代表协商和交流的情况（OHSMS填写）：</w:t>
            </w:r>
            <w:r>
              <w:rPr>
                <w:rFonts w:hint="eastAsia" w:ascii="宋体" w:hAnsi="宋体" w:eastAsia="楷体_GB2312" w:cs="Arial"/>
                <w:szCs w:val="21"/>
                <w:lang w:val="en-US"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制定并实施了产品检验控制规定，规定了公司各管理层次和品质检测部门在各阶段对产品服务质量实施检查与验收的管理要求，产品的验收工作均在</w:t>
            </w:r>
            <w:r>
              <w:rPr>
                <w:rFonts w:hint="eastAsia" w:ascii="宋体" w:hAnsi="宋体" w:cs="宋体"/>
                <w:color w:val="000000"/>
                <w:szCs w:val="21"/>
                <w:lang w:eastAsia="zh-CN"/>
              </w:rPr>
              <w:t>交付</w:t>
            </w:r>
            <w:r>
              <w:rPr>
                <w:rFonts w:hint="eastAsia" w:ascii="宋体" w:hAnsi="宋体" w:cs="宋体"/>
                <w:color w:val="000000"/>
                <w:szCs w:val="21"/>
              </w:rPr>
              <w:t>前予以完成。内容基本具备全面性、系统性及可操作性，范围包括：过程、最终产品。以此保证持续向顾客稳定提供稳定合格的产品。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sz w:val="20"/>
                <w:szCs w:val="20"/>
              </w:rPr>
            </w:pPr>
            <w:r>
              <w:rPr>
                <w:rFonts w:hint="eastAsia"/>
                <w:b/>
                <w:sz w:val="20"/>
                <w:szCs w:val="20"/>
              </w:rPr>
              <w:t>有型式试验和委外检测报告，见附件</w:t>
            </w:r>
          </w:p>
          <w:p>
            <w:pPr>
              <w:spacing w:line="300" w:lineRule="exact"/>
              <w:ind w:firstLine="197" w:firstLineChars="98"/>
              <w:rPr>
                <w:b/>
                <w:color w:val="000000" w:themeColor="text1"/>
                <w:sz w:val="20"/>
                <w:szCs w:val="20"/>
              </w:rPr>
            </w:pPr>
            <w:r>
              <w:rPr>
                <w:rFonts w:hint="eastAsia"/>
                <w:b/>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Theme="minorEastAsia" w:hAnsiTheme="minorEastAsia" w:eastAsiaTheme="minor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FF0000"/>
                <w:sz w:val="20"/>
                <w:szCs w:val="20"/>
              </w:rPr>
            </w:pPr>
            <w:r>
              <w:rPr>
                <w:rFonts w:hint="eastAsia"/>
                <w:b/>
                <w:color w:val="000000" w:themeColor="text1"/>
                <w:sz w:val="20"/>
                <w:szCs w:val="20"/>
              </w:rPr>
              <w:t>（EMS对重要环境因素控制，重大环境因素对周边环境产生的影响及控制;对相关方施加影响</w:t>
            </w:r>
            <w:r>
              <w:rPr>
                <w:rFonts w:hint="eastAsia"/>
                <w:b/>
                <w:color w:val="FF0000"/>
                <w:sz w:val="20"/>
                <w:szCs w:val="20"/>
              </w:rPr>
              <w:t>）</w:t>
            </w:r>
          </w:p>
          <w:p>
            <w:pPr>
              <w:tabs>
                <w:tab w:val="left" w:pos="2552"/>
              </w:tabs>
              <w:spacing w:line="360" w:lineRule="exact"/>
              <w:ind w:firstLine="315" w:firstLineChars="150"/>
              <w:rPr>
                <w:rFonts w:hint="eastAsia" w:eastAsia="宋体"/>
                <w:b/>
                <w:color w:val="000000" w:themeColor="text1"/>
                <w:sz w:val="20"/>
                <w:szCs w:val="20"/>
                <w:lang w:eastAsia="zh-CN"/>
              </w:rPr>
            </w:pPr>
            <w:r>
              <w:rPr>
                <w:rFonts w:hint="eastAsia" w:asciiTheme="minorEastAsia" w:hAnsiTheme="minorEastAsia" w:eastAsiaTheme="minorEastAsia"/>
                <w:bCs/>
                <w:iCs/>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eastAsia="zh-CN"/>
              </w:rPr>
            </w:pPr>
            <w:r>
              <w:rPr>
                <w:rFonts w:hint="eastAsia" w:asciiTheme="minorEastAsia" w:hAnsiTheme="minorEastAsia" w:eastAsiaTheme="minorEastAsia"/>
                <w:bCs/>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rFonts w:hint="eastAsia" w:asciiTheme="minorEastAsia" w:hAnsiTheme="minorEastAsia" w:eastAsiaTheme="minorEastAsia"/>
                <w:b/>
                <w:color w:val="000000" w:themeColor="text1"/>
                <w:spacing w:val="-4"/>
                <w:sz w:val="20"/>
                <w:szCs w:val="20"/>
                <w:lang w:eastAsia="zh-CN"/>
              </w:rPr>
            </w:pPr>
            <w:r>
              <w:rPr>
                <w:rFonts w:hint="eastAsia" w:asciiTheme="minorEastAsia" w:hAnsiTheme="minorEastAsia" w:eastAsiaTheme="minorEastAsia"/>
                <w:bCs/>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525" w:firstLineChars="2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月2019年</w:t>
            </w:r>
            <w:r>
              <w:rPr>
                <w:rFonts w:hint="eastAsia" w:ascii="宋体" w:hAnsi="宋体" w:cs="宋体"/>
                <w:szCs w:val="21"/>
                <w:lang w:val="en-US" w:eastAsia="zh-CN"/>
              </w:rPr>
              <w:t>10</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w:t>
            </w:r>
            <w:r>
              <w:rPr>
                <w:rFonts w:hint="eastAsia" w:ascii="宋体" w:hAnsi="宋体" w:cs="宋体"/>
                <w:szCs w:val="21"/>
              </w:rPr>
              <w:t>客投诉处理及顾客满意度评价做了明确的规定，并按规定对顾客反馈及时处理，但在顾客反馈信息的利用上不够，需要改善。近年来未发生重大顾客投诉和产品质量事故。顾客满意度调查按规定实施，2019年5月实施，满意度评价98</w:t>
            </w:r>
            <w:r>
              <w:rPr>
                <w:rFonts w:hint="eastAsia" w:ascii="宋体" w:hAnsi="宋体" w:cs="宋体"/>
                <w:szCs w:val="21"/>
                <w:lang w:val="en-US" w:eastAsia="zh-CN"/>
              </w:rPr>
              <w:t>%</w:t>
            </w:r>
            <w:r>
              <w:rPr>
                <w:rFonts w:hint="eastAsia" w:ascii="宋体" w:hAnsi="宋体" w:cs="宋体"/>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w:t>
            </w:r>
            <w:r>
              <w:rPr>
                <w:rFonts w:hint="eastAsia" w:ascii="宋体" w:hAnsi="宋体"/>
                <w:szCs w:val="21"/>
                <w:lang w:eastAsia="zh-CN"/>
              </w:rPr>
              <w:t>销售部</w:t>
            </w:r>
            <w:r>
              <w:rPr>
                <w:rFonts w:hint="eastAsia" w:ascii="宋体" w:hAnsi="宋体"/>
                <w:szCs w:val="21"/>
              </w:rPr>
              <w:t>Q</w:t>
            </w:r>
            <w:r>
              <w:rPr>
                <w:rFonts w:hint="eastAsia" w:ascii="宋体" w:hAnsi="宋体"/>
                <w:szCs w:val="21"/>
                <w:lang w:val="en-US" w:eastAsia="zh-CN"/>
              </w:rPr>
              <w:t>8.2.3</w:t>
            </w:r>
            <w:r>
              <w:rPr>
                <w:rFonts w:hint="eastAsia" w:ascii="宋体" w:hAnsi="宋体"/>
                <w:szCs w:val="21"/>
              </w:rPr>
              <w:t>条款，</w:t>
            </w:r>
            <w:r>
              <w:rPr>
                <w:rFonts w:hint="eastAsia" w:ascii="宋体" w:hAnsi="宋体"/>
                <w:szCs w:val="21"/>
                <w:lang w:eastAsia="zh-CN"/>
              </w:rPr>
              <w:t>现场查看发现</w:t>
            </w:r>
            <w:r>
              <w:rPr>
                <w:rFonts w:hint="eastAsia" w:ascii="宋体" w:hAnsi="宋体"/>
                <w:szCs w:val="21"/>
                <w:lang w:val="en-US" w:eastAsia="zh-CN"/>
              </w:rPr>
              <w:t>2019年1月2号与重庆金胜康科信息科技有限责任公司签订的合同</w:t>
            </w:r>
            <w:r>
              <w:rPr>
                <w:rFonts w:hint="eastAsia" w:ascii="宋体" w:hAnsi="宋体"/>
                <w:szCs w:val="21"/>
                <w:lang w:eastAsia="zh-CN"/>
              </w:rPr>
              <w:t>未进行评审</w:t>
            </w:r>
            <w:r>
              <w:rPr>
                <w:rFonts w:hint="eastAsia" w:ascii="宋体" w:hAnsi="宋体"/>
                <w:szCs w:val="21"/>
              </w:rPr>
              <w:t>。针对以上不符合项，已及时采取纠正措施后，经内审员验证关闭。内审的有效性需要改善。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7</w:t>
            </w:r>
            <w:r>
              <w:rPr>
                <w:rFonts w:hint="eastAsia" w:ascii="宋体" w:hAnsi="宋体"/>
                <w:szCs w:val="21"/>
              </w:rPr>
              <w:t>月2</w:t>
            </w:r>
            <w:r>
              <w:rPr>
                <w:rFonts w:hint="eastAsia" w:ascii="宋体" w:hAnsi="宋体"/>
                <w:szCs w:val="21"/>
                <w:lang w:val="en-US" w:eastAsia="zh-CN"/>
              </w:rPr>
              <w:t>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hint="eastAsia" w:eastAsia="宋体"/>
                <w:color w:val="000000" w:themeColor="text1"/>
                <w:sz w:val="20"/>
                <w:szCs w:val="20"/>
                <w:lang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color w:val="000000" w:themeColor="text1"/>
                <w:sz w:val="20"/>
                <w:szCs w:val="20"/>
                <w:lang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14:textFill>
                  <w14:solidFill>
                    <w14:schemeClr w14:val="tx1"/>
                  </w14:solidFill>
                </w14:textFill>
              </w:rPr>
            </w:pPr>
            <w:r>
              <w:rPr>
                <w:rFonts w:hint="eastAsia"/>
                <w:b/>
                <w:sz w:val="20"/>
                <w:szCs w:val="20"/>
              </w:rPr>
              <w:t>3</w:t>
            </w:r>
            <w:r>
              <w:rPr>
                <w:rFonts w:hint="eastAsia"/>
                <w:b/>
                <w:color w:val="0000FF"/>
                <w:sz w:val="20"/>
                <w:szCs w:val="20"/>
              </w:rPr>
              <w:t xml:space="preserve">. </w:t>
            </w:r>
            <w:r>
              <w:rPr>
                <w:rFonts w:hint="eastAsia"/>
                <w:b/>
                <w:color w:val="000000" w:themeColor="text1"/>
                <w:sz w:val="20"/>
                <w:szCs w:val="20"/>
                <w14:textFill>
                  <w14:solidFill>
                    <w14:schemeClr w14:val="tx1"/>
                  </w14:solidFill>
                </w14:textFill>
              </w:rPr>
              <w:t>一阶段提出问题的整改情况?</w:t>
            </w:r>
          </w:p>
          <w:p>
            <w:pPr>
              <w:spacing w:line="240" w:lineRule="exact"/>
              <w:rPr>
                <w:b/>
                <w:color w:val="FF0000"/>
                <w:spacing w:val="-20"/>
                <w:sz w:val="20"/>
                <w:szCs w:val="20"/>
              </w:rPr>
            </w:pPr>
            <w:r>
              <w:rPr>
                <w:rFonts w:hint="eastAsia"/>
                <w:b/>
                <w:color w:val="000000" w:themeColor="text1"/>
                <w:sz w:val="20"/>
                <w:szCs w:val="20"/>
                <w14:textFill>
                  <w14:solidFill>
                    <w14:schemeClr w14:val="tx1"/>
                  </w14:solidFill>
                </w14:textFill>
              </w:rPr>
              <w:t>检测设备校准或检定未完成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color w:val="000000" w:themeColor="text1"/>
          <w14:textFill>
            <w14:solidFill>
              <w14:schemeClr w14:val="tx1"/>
            </w14:solidFill>
          </w14:textFill>
        </w:rPr>
        <w:t>1. 本次审核共开具不符合项报告 1项；其中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严重不符合 0项，一般不符合 1项，观察项0项，分布在部门</w:t>
      </w:r>
      <w:r>
        <w:rPr>
          <w:rFonts w:hint="eastAsia"/>
          <w:b/>
          <w:color w:val="000000" w:themeColor="text1"/>
          <w:lang w:eastAsia="zh-CN"/>
          <w14:textFill>
            <w14:solidFill>
              <w14:schemeClr w14:val="tx1"/>
            </w14:solidFill>
          </w14:textFill>
        </w:rPr>
        <w:t>研发技术部</w:t>
      </w:r>
      <w:r>
        <w:rPr>
          <w:rFonts w:hint="eastAsia"/>
          <w:b/>
          <w:color w:val="000000" w:themeColor="text1"/>
          <w14:textFill>
            <w14:solidFill>
              <w14:schemeClr w14:val="tx1"/>
            </w14:solidFill>
          </w14:textFill>
        </w:rPr>
        <w:t>条款Q7.1.5，分布见附</w:t>
      </w:r>
      <w:r>
        <w:rPr>
          <w:rFonts w:hint="eastAsia"/>
          <w:b/>
        </w:rPr>
        <w:t>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rPr>
          <w:rFonts w:hint="eastAsia"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pacing w:val="-10"/>
                <w:sz w:val="22"/>
                <w:szCs w:val="22"/>
              </w:rPr>
              <w:t xml:space="preserve">GJB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b/>
                <w:color w:val="000000" w:themeColor="text1"/>
                <w:spacing w:val="-10"/>
                <w:sz w:val="22"/>
                <w:szCs w:val="22"/>
              </w:rPr>
            </w:pPr>
            <w:r>
              <w:rPr>
                <w:rFonts w:ascii="宋体" w:hAnsi="宋体"/>
                <w:b/>
                <w:color w:val="000000" w:themeColor="text1"/>
              </w:rPr>
              <w:t>QMS:</w:t>
            </w:r>
            <w:r>
              <w:rPr>
                <w:rFonts w:hint="eastAsia" w:ascii="宋体" w:hAnsi="宋体"/>
                <w:szCs w:val="21"/>
              </w:rPr>
              <w:t xml:space="preserve">计算机信息系统集成,社会公共安全设备的销售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Lines="50"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numPr>
          <w:ilvl w:val="0"/>
          <w:numId w:val="0"/>
        </w:numPr>
        <w:spacing w:beforeLines="50" w:afterLines="50"/>
        <w:ind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20</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bCs/>
          <w:szCs w:val="21"/>
        </w:rPr>
      </w:pPr>
      <w:r>
        <w:rPr>
          <w:rFonts w:hint="eastAsia"/>
          <w:b/>
          <w:bCs/>
          <w:color w:val="000000" w:themeColor="text1"/>
          <w:szCs w:val="21"/>
        </w:rPr>
        <w:t>1</w:t>
      </w:r>
      <w:r>
        <w:rPr>
          <w:rFonts w:hint="eastAsia"/>
          <w:b/>
          <w:bCs/>
          <w:color w:val="FF0000"/>
          <w:szCs w:val="21"/>
        </w:rPr>
        <w:t xml:space="preserve">.  </w:t>
      </w:r>
      <w:r>
        <w:rPr>
          <w:rFonts w:hint="eastAsia"/>
          <w:b/>
          <w:bCs/>
          <w:szCs w:val="21"/>
        </w:rPr>
        <w:t>审核中发现的</w:t>
      </w:r>
      <w:r>
        <w:rPr>
          <w:rFonts w:hint="eastAsia"/>
          <w:b/>
          <w:bCs/>
          <w:szCs w:val="21"/>
          <w:lang w:eastAsia="zh-CN"/>
        </w:rPr>
        <w:t>☑</w:t>
      </w:r>
      <w:r>
        <w:rPr>
          <w:rFonts w:hint="eastAsia"/>
          <w:b/>
          <w:bCs/>
          <w:szCs w:val="21"/>
        </w:rPr>
        <w:t xml:space="preserve">QMS( </w:t>
      </w:r>
      <w:r>
        <w:rPr>
          <w:rFonts w:hint="eastAsia"/>
          <w:b/>
          <w:bCs/>
          <w:szCs w:val="21"/>
          <w:lang w:val="en-US" w:eastAsia="zh-CN"/>
        </w:rPr>
        <w:t>1</w:t>
      </w:r>
      <w:r>
        <w:rPr>
          <w:rFonts w:hint="eastAsia"/>
          <w:b/>
          <w:bCs/>
          <w:szCs w:val="21"/>
        </w:rPr>
        <w:t xml:space="preserve">  )个一般不符合，( </w:t>
      </w:r>
      <w:r>
        <w:rPr>
          <w:rFonts w:hint="eastAsia"/>
          <w:b/>
          <w:bCs/>
          <w:szCs w:val="21"/>
          <w:lang w:val="en-US" w:eastAsia="zh-CN"/>
        </w:rPr>
        <w:t>0</w:t>
      </w:r>
      <w:r>
        <w:rPr>
          <w:rFonts w:hint="eastAsia"/>
          <w:b/>
          <w:bCs/>
          <w:szCs w:val="21"/>
        </w:rPr>
        <w:t xml:space="preserve"> )个严重不符合，</w:t>
      </w:r>
      <w:bookmarkStart w:id="19" w:name="_GoBack"/>
      <w:bookmarkEnd w:id="19"/>
      <w:r>
        <w:rPr>
          <w:rFonts w:hint="eastAsia"/>
          <w:b/>
          <w:bCs/>
          <w:szCs w:val="21"/>
          <w:lang w:eastAsia="zh-CN"/>
        </w:rPr>
        <w:t>□</w:t>
      </w:r>
      <w:r>
        <w:rPr>
          <w:rFonts w:hint="eastAsia"/>
          <w:b/>
          <w:bCs/>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日期：年月日</w:t>
      </w:r>
    </w:p>
    <w:p>
      <w:pPr>
        <w:numPr>
          <w:ilvl w:val="0"/>
          <w:numId w:val="5"/>
        </w:numPr>
        <w:snapToGrid w:val="0"/>
        <w:spacing w:line="360" w:lineRule="auto"/>
        <w:ind w:left="202" w:leftChars="-405" w:hanging="1052" w:hangingChars="403"/>
        <w:rPr>
          <w:b/>
          <w:color w:val="000000" w:themeColor="text1"/>
          <w:sz w:val="26"/>
          <w:szCs w:val="26"/>
        </w:rPr>
      </w:pP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numPr>
          <w:ilvl w:val="0"/>
          <w:numId w:val="0"/>
        </w:numPr>
        <w:snapToGrid w:val="0"/>
        <w:spacing w:line="360" w:lineRule="auto"/>
        <w:ind w:leftChars="-808" w:firstLine="632" w:firstLineChars="300"/>
        <w:rPr>
          <w:rFonts w:hint="eastAsia"/>
          <w:b/>
          <w:color w:val="000000" w:themeColor="text1"/>
          <w:szCs w:val="21"/>
        </w:rPr>
      </w:pPr>
    </w:p>
    <w:p>
      <w:pPr>
        <w:numPr>
          <w:ilvl w:val="0"/>
          <w:numId w:val="0"/>
        </w:numPr>
        <w:snapToGrid w:val="0"/>
        <w:spacing w:line="360" w:lineRule="auto"/>
        <w:ind w:leftChars="-808" w:firstLine="632" w:firstLineChars="300"/>
        <w:rPr>
          <w:rFonts w:hint="eastAsia"/>
          <w:b/>
          <w:color w:val="000000" w:themeColor="text1"/>
          <w:szCs w:val="21"/>
        </w:rPr>
      </w:pPr>
    </w:p>
    <w:p>
      <w:pPr>
        <w:numPr>
          <w:ilvl w:val="0"/>
          <w:numId w:val="0"/>
        </w:numPr>
        <w:snapToGrid w:val="0"/>
        <w:spacing w:line="360" w:lineRule="auto"/>
        <w:ind w:leftChars="-808" w:firstLine="783" w:firstLineChars="300"/>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rFonts w:ascii="宋体" w:hAnsi="宋体"/>
          <w:b/>
          <w:color w:val="000000" w:themeColor="text1"/>
          <w:sz w:val="26"/>
          <w:szCs w:val="26"/>
        </w:rPr>
      </w:pPr>
      <w:r>
        <w:rPr>
          <w:rFonts w:hint="eastAsia"/>
          <w:b/>
          <w:bCs/>
          <w:color w:val="000000" w:themeColor="text1"/>
          <w:szCs w:val="21"/>
        </w:rPr>
        <w:t>6. 对同时申请CNAS标志证书的组织，应注意两种证书的注册范围可能不同。</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1179F"/>
    <w:multiLevelType w:val="singleLevel"/>
    <w:tmpl w:val="8CF1179F"/>
    <w:lvl w:ilvl="0" w:tentative="0">
      <w:start w:val="17"/>
      <w:numFmt w:val="chineseCounting"/>
      <w:suff w:val="nothing"/>
      <w:lvlText w:val="%1、"/>
      <w:lvlJc w:val="left"/>
      <w:rPr>
        <w:rFonts w:hint="eastAsia"/>
      </w:rPr>
    </w:lvl>
  </w:abstractNum>
  <w:abstractNum w:abstractNumId="1">
    <w:nsid w:val="D219AB37"/>
    <w:multiLevelType w:val="singleLevel"/>
    <w:tmpl w:val="D219AB37"/>
    <w:lvl w:ilvl="0" w:tentative="0">
      <w:start w:val="4"/>
      <w:numFmt w:val="chineseCounting"/>
      <w:suff w:val="nothing"/>
      <w:lvlText w:val="%1、"/>
      <w:lvlJc w:val="left"/>
      <w:rPr>
        <w:rFonts w:hint="eastAsia"/>
      </w:rPr>
    </w:lvl>
  </w:abstractNum>
  <w:abstractNum w:abstractNumId="2">
    <w:nsid w:val="EC623842"/>
    <w:multiLevelType w:val="singleLevel"/>
    <w:tmpl w:val="EC623842"/>
    <w:lvl w:ilvl="0" w:tentative="0">
      <w:start w:val="13"/>
      <w:numFmt w:val="chineseCounting"/>
      <w:suff w:val="space"/>
      <w:lvlText w:val="%1、"/>
      <w:lvlJc w:val="left"/>
      <w:rPr>
        <w:rFonts w:hint="eastAsia"/>
      </w:r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1560"/>
    <w:rsid w:val="000443F0"/>
    <w:rsid w:val="00075C70"/>
    <w:rsid w:val="0008517E"/>
    <w:rsid w:val="000B6AEA"/>
    <w:rsid w:val="000E12C6"/>
    <w:rsid w:val="000F2F8F"/>
    <w:rsid w:val="0013743D"/>
    <w:rsid w:val="0014292E"/>
    <w:rsid w:val="001554EF"/>
    <w:rsid w:val="0016647A"/>
    <w:rsid w:val="00181799"/>
    <w:rsid w:val="00197C64"/>
    <w:rsid w:val="001C6236"/>
    <w:rsid w:val="001D445E"/>
    <w:rsid w:val="001D5696"/>
    <w:rsid w:val="001F1F68"/>
    <w:rsid w:val="00250BBA"/>
    <w:rsid w:val="00284CA1"/>
    <w:rsid w:val="00291498"/>
    <w:rsid w:val="002B120A"/>
    <w:rsid w:val="002B6816"/>
    <w:rsid w:val="002C24DB"/>
    <w:rsid w:val="002D1483"/>
    <w:rsid w:val="002F549E"/>
    <w:rsid w:val="00304003"/>
    <w:rsid w:val="00316AB6"/>
    <w:rsid w:val="00341103"/>
    <w:rsid w:val="00373391"/>
    <w:rsid w:val="00376915"/>
    <w:rsid w:val="00392511"/>
    <w:rsid w:val="003E3D4F"/>
    <w:rsid w:val="003F74C1"/>
    <w:rsid w:val="004100EA"/>
    <w:rsid w:val="00464786"/>
    <w:rsid w:val="00474716"/>
    <w:rsid w:val="00484B0B"/>
    <w:rsid w:val="004C1602"/>
    <w:rsid w:val="004D3E71"/>
    <w:rsid w:val="004D66C9"/>
    <w:rsid w:val="005164BD"/>
    <w:rsid w:val="0054650A"/>
    <w:rsid w:val="00582A0E"/>
    <w:rsid w:val="00584F23"/>
    <w:rsid w:val="00592421"/>
    <w:rsid w:val="005B46F0"/>
    <w:rsid w:val="005B675E"/>
    <w:rsid w:val="005E1CBB"/>
    <w:rsid w:val="005E468C"/>
    <w:rsid w:val="00603285"/>
    <w:rsid w:val="00610FA8"/>
    <w:rsid w:val="0061644F"/>
    <w:rsid w:val="006306D9"/>
    <w:rsid w:val="00632A83"/>
    <w:rsid w:val="0063633F"/>
    <w:rsid w:val="00664382"/>
    <w:rsid w:val="00680C64"/>
    <w:rsid w:val="006C6F24"/>
    <w:rsid w:val="006F2EE3"/>
    <w:rsid w:val="00712F52"/>
    <w:rsid w:val="00731F1C"/>
    <w:rsid w:val="00770469"/>
    <w:rsid w:val="00775D3A"/>
    <w:rsid w:val="00784CC6"/>
    <w:rsid w:val="007C4DD7"/>
    <w:rsid w:val="007E39C2"/>
    <w:rsid w:val="008030AC"/>
    <w:rsid w:val="008175A6"/>
    <w:rsid w:val="00845D78"/>
    <w:rsid w:val="00850E86"/>
    <w:rsid w:val="00853D8C"/>
    <w:rsid w:val="00857EF7"/>
    <w:rsid w:val="008648E8"/>
    <w:rsid w:val="00877EB8"/>
    <w:rsid w:val="008A6929"/>
    <w:rsid w:val="008B07CC"/>
    <w:rsid w:val="008F1D07"/>
    <w:rsid w:val="009203AC"/>
    <w:rsid w:val="009251B2"/>
    <w:rsid w:val="00925F99"/>
    <w:rsid w:val="0092740B"/>
    <w:rsid w:val="0093072B"/>
    <w:rsid w:val="00932B07"/>
    <w:rsid w:val="00951685"/>
    <w:rsid w:val="0096690C"/>
    <w:rsid w:val="00986C4E"/>
    <w:rsid w:val="009958FB"/>
    <w:rsid w:val="009A56C0"/>
    <w:rsid w:val="009A7BA8"/>
    <w:rsid w:val="009B2678"/>
    <w:rsid w:val="009E12F8"/>
    <w:rsid w:val="009E496A"/>
    <w:rsid w:val="009E741A"/>
    <w:rsid w:val="00A02276"/>
    <w:rsid w:val="00A057D9"/>
    <w:rsid w:val="00A112DB"/>
    <w:rsid w:val="00AB1797"/>
    <w:rsid w:val="00AB688A"/>
    <w:rsid w:val="00AC3F5D"/>
    <w:rsid w:val="00AE632A"/>
    <w:rsid w:val="00AE71F3"/>
    <w:rsid w:val="00AF66F6"/>
    <w:rsid w:val="00B05366"/>
    <w:rsid w:val="00B1795A"/>
    <w:rsid w:val="00B34573"/>
    <w:rsid w:val="00BC3244"/>
    <w:rsid w:val="00BD2793"/>
    <w:rsid w:val="00C51754"/>
    <w:rsid w:val="00C634D9"/>
    <w:rsid w:val="00C757A7"/>
    <w:rsid w:val="00C94E22"/>
    <w:rsid w:val="00CE44EC"/>
    <w:rsid w:val="00D00BA6"/>
    <w:rsid w:val="00D1113C"/>
    <w:rsid w:val="00D40E52"/>
    <w:rsid w:val="00DD2268"/>
    <w:rsid w:val="00E148C5"/>
    <w:rsid w:val="00E23DA1"/>
    <w:rsid w:val="00E255D2"/>
    <w:rsid w:val="00E26B38"/>
    <w:rsid w:val="00E32B36"/>
    <w:rsid w:val="00E830D4"/>
    <w:rsid w:val="00E830EA"/>
    <w:rsid w:val="00E9214A"/>
    <w:rsid w:val="00EA2C78"/>
    <w:rsid w:val="00EF0F10"/>
    <w:rsid w:val="00EF1481"/>
    <w:rsid w:val="00F326DC"/>
    <w:rsid w:val="00F64301"/>
    <w:rsid w:val="00F86288"/>
    <w:rsid w:val="00FA5C98"/>
    <w:rsid w:val="00FD38F7"/>
    <w:rsid w:val="00FF14F7"/>
    <w:rsid w:val="00FF6078"/>
    <w:rsid w:val="01CB3B67"/>
    <w:rsid w:val="01E2605B"/>
    <w:rsid w:val="01FE6BA0"/>
    <w:rsid w:val="02564BB8"/>
    <w:rsid w:val="04CF79AD"/>
    <w:rsid w:val="060D5CE4"/>
    <w:rsid w:val="07A84CB2"/>
    <w:rsid w:val="07AA6E65"/>
    <w:rsid w:val="0AFA1F01"/>
    <w:rsid w:val="0B900D4F"/>
    <w:rsid w:val="0BB35F9E"/>
    <w:rsid w:val="0CC7527B"/>
    <w:rsid w:val="0CFA410C"/>
    <w:rsid w:val="105D3ECF"/>
    <w:rsid w:val="14DB0987"/>
    <w:rsid w:val="14E9090B"/>
    <w:rsid w:val="16F8444A"/>
    <w:rsid w:val="1C440198"/>
    <w:rsid w:val="1C5F0C83"/>
    <w:rsid w:val="1E9607BB"/>
    <w:rsid w:val="21611269"/>
    <w:rsid w:val="2E3E3AC2"/>
    <w:rsid w:val="30264699"/>
    <w:rsid w:val="3123623D"/>
    <w:rsid w:val="32857DE8"/>
    <w:rsid w:val="32A90246"/>
    <w:rsid w:val="3C365069"/>
    <w:rsid w:val="3C5814E9"/>
    <w:rsid w:val="3C6210A8"/>
    <w:rsid w:val="3D0E43C6"/>
    <w:rsid w:val="3F006A3B"/>
    <w:rsid w:val="41C00697"/>
    <w:rsid w:val="41D81C30"/>
    <w:rsid w:val="42DD70A2"/>
    <w:rsid w:val="48212822"/>
    <w:rsid w:val="48C542F0"/>
    <w:rsid w:val="499874CB"/>
    <w:rsid w:val="4B4A3A22"/>
    <w:rsid w:val="4F07614D"/>
    <w:rsid w:val="551B3E6F"/>
    <w:rsid w:val="594348DF"/>
    <w:rsid w:val="5CDD1C2D"/>
    <w:rsid w:val="61A2120B"/>
    <w:rsid w:val="65F3344F"/>
    <w:rsid w:val="678560E5"/>
    <w:rsid w:val="67C026D7"/>
    <w:rsid w:val="67D7370D"/>
    <w:rsid w:val="6A1418BC"/>
    <w:rsid w:val="6B443A55"/>
    <w:rsid w:val="6B6F02FC"/>
    <w:rsid w:val="6D2A62D2"/>
    <w:rsid w:val="6E0A1F4F"/>
    <w:rsid w:val="707A5E4A"/>
    <w:rsid w:val="74077D99"/>
    <w:rsid w:val="76AB7062"/>
    <w:rsid w:val="7A8D55D5"/>
    <w:rsid w:val="7CE47551"/>
    <w:rsid w:val="7FCE6C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99"/>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semiHidden/>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1"/>
    <w:basedOn w:val="9"/>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1458</Words>
  <Characters>8314</Characters>
  <Lines>69</Lines>
  <Paragraphs>19</Paragraphs>
  <TotalTime>2</TotalTime>
  <ScaleCrop>false</ScaleCrop>
  <LinksUpToDate>false</LinksUpToDate>
  <CharactersWithSpaces>9753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2019-11-20T03:20:39Z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