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0542-2019-Q</w:t>
      </w:r>
      <w:bookmarkEnd w:id="0"/>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重庆旭纳科技有限责任公司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numPr>
          <w:ilvl w:val="0"/>
          <w:numId w:val="1"/>
        </w:numPr>
        <w:jc w:val="left"/>
        <w:rPr>
          <w:rFonts w:hint="eastAsia" w:ascii="宋体" w:hAnsi="宋体"/>
          <w:b/>
          <w:color w:val="000000"/>
          <w:sz w:val="26"/>
          <w:szCs w:val="26"/>
        </w:rPr>
      </w:pPr>
      <w:r>
        <w:rPr>
          <w:rFonts w:ascii="宋体"/>
          <w:b/>
          <w:color w:val="000000"/>
          <w:sz w:val="26"/>
          <w:szCs w:val="26"/>
        </w:rPr>
        <w:br w:type="page"/>
      </w:r>
      <w:r>
        <w:rPr>
          <w:rFonts w:hint="eastAsia" w:ascii="宋体" w:hAnsi="宋体"/>
          <w:b/>
          <w:color w:val="000000"/>
          <w:sz w:val="26"/>
          <w:szCs w:val="26"/>
        </w:rPr>
        <w:t>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14:textFill>
                  <w14:solidFill>
                    <w14:schemeClr w14:val="tx1"/>
                  </w14:solidFill>
                </w14:textFill>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14:textFill>
                  <w14:solidFill>
                    <w14:schemeClr w14:val="tx1"/>
                  </w14:solidFill>
                </w14:textFill>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14:textFill>
                  <w14:solidFill>
                    <w14:schemeClr w14:val="tx1"/>
                  </w14:solidFill>
                </w14:textFill>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14:textFill>
                  <w14:solidFill>
                    <w14:schemeClr w14:val="tx1"/>
                  </w14:solidFill>
                </w14:textFill>
              </w:rPr>
              <w:t>010</w:t>
            </w:r>
            <w:r>
              <w:rPr>
                <w:rFonts w:hint="eastAsia"/>
                <w:b/>
                <w:color w:val="000000" w:themeColor="text1"/>
                <w:sz w:val="20"/>
                <w:szCs w:val="20"/>
                <w14:textFill>
                  <w14:solidFill>
                    <w14:schemeClr w14:val="tx1"/>
                  </w14:solidFill>
                </w14:textFill>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b/>
                <w:color w:val="000000"/>
                <w:sz w:val="20"/>
                <w:szCs w:val="20"/>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29.10.07,33.02.02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冷校</w:t>
            </w:r>
          </w:p>
        </w:tc>
        <w:tc>
          <w:tcPr>
            <w:tcW w:w="851" w:type="dxa"/>
            <w:gridSpan w:val="2"/>
            <w:vAlign w:val="center"/>
          </w:tcPr>
          <w:p>
            <w:pPr>
              <w:spacing w:line="240" w:lineRule="exact"/>
              <w:jc w:val="center"/>
              <w:rPr>
                <w:b/>
                <w:color w:val="000000"/>
                <w:sz w:val="20"/>
                <w:szCs w:val="20"/>
              </w:rPr>
            </w:pPr>
            <w:r>
              <w:rPr>
                <w:b/>
                <w:color w:val="000000"/>
                <w:sz w:val="20"/>
                <w:szCs w:val="20"/>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spacing w:line="240" w:lineRule="exact"/>
              <w:jc w:val="cente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snapToGrid w:val="0"/>
          <w:color w:val="000000"/>
          <w:kern w:val="0"/>
          <w:sz w:val="18"/>
          <w:szCs w:val="21"/>
          <w:lang w:eastAsia="zh-CN"/>
        </w:rPr>
        <w:t>☑</w:t>
      </w:r>
      <w:r>
        <w:rPr>
          <w:rFonts w:ascii="宋体" w:hAnsi="宋体"/>
          <w:b/>
          <w:color w:val="000000"/>
          <w:sz w:val="20"/>
          <w:szCs w:val="20"/>
        </w:rPr>
        <w:t>QMS/</w:t>
      </w:r>
      <w:r>
        <w:rPr>
          <w:rFonts w:hint="eastAsia" w:ascii="宋体" w:hAnsi="宋体"/>
          <w:snapToGrid w:val="0"/>
          <w:color w:val="000000"/>
          <w:kern w:val="0"/>
          <w:sz w:val="18"/>
          <w:szCs w:val="21"/>
          <w:lang w:eastAsia="zh-CN"/>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numPr>
          <w:ilvl w:val="0"/>
          <w:numId w:val="2"/>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重庆旭纳科技有限责任公司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重庆市九龙坡区科园四路170号4-1023</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重庆市九龙坡区科园四路170号4-1023</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贺豫</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023-88110379</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刘鉴锋</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贺豫</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计算机信息系统集成,社会公共安全设备的销售</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29.10.07;33.02.02</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hAnsi="宋体" w:cs="宋体"/>
          <w:color w:val="000000"/>
          <w:szCs w:val="24"/>
          <w:lang w:eastAsia="zh-CN"/>
        </w:rPr>
      </w:pPr>
      <w:r>
        <w:rPr>
          <w:rFonts w:hint="eastAsia" w:ascii="宋体" w:hAnsi="宋体"/>
          <w:b/>
          <w:color w:val="000000"/>
          <w:sz w:val="20"/>
          <w:szCs w:val="20"/>
        </w:rPr>
        <w:t>部门：</w:t>
      </w:r>
      <w:r>
        <w:rPr>
          <w:rFonts w:hint="eastAsia" w:ascii="宋体" w:hAnsi="宋体" w:cs="宋体"/>
          <w:color w:val="000000"/>
          <w:szCs w:val="24"/>
          <w:lang w:eastAsia="zh-CN"/>
        </w:rPr>
        <w:t>销售部、采购部、研发技术中心、人事行政部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17" w:name="生产地址"/>
      <w:r>
        <w:t>重庆市九龙坡区科园四路170号4-1023</w:t>
      </w:r>
      <w:bookmarkEnd w:id="17"/>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1</w:t>
            </w:r>
            <w:r>
              <w:rPr>
                <w:rFonts w:hint="eastAsia" w:ascii="宋体" w:hAnsi="宋体"/>
                <w:color w:val="000000" w:themeColor="text1"/>
                <w:sz w:val="20"/>
                <w:szCs w:val="20"/>
                <w14:textFill>
                  <w14:solidFill>
                    <w14:schemeClr w14:val="tx1"/>
                  </w14:solidFill>
                </w14:textFill>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2</w:t>
            </w:r>
            <w:r>
              <w:rPr>
                <w:rFonts w:hint="eastAsia" w:ascii="宋体" w:hAnsi="宋体"/>
                <w:color w:val="000000" w:themeColor="text1"/>
                <w:sz w:val="20"/>
                <w:szCs w:val="20"/>
                <w14:textFill>
                  <w14:solidFill>
                    <w14:schemeClr w14:val="tx1"/>
                  </w14:solidFill>
                </w14:textFill>
              </w:rPr>
              <w:t>）质量管理体系是否删减</w:t>
            </w:r>
          </w:p>
        </w:tc>
        <w:tc>
          <w:tcPr>
            <w:tcW w:w="970" w:type="dxa"/>
            <w:gridSpan w:val="2"/>
          </w:tcPr>
          <w:p>
            <w:pPr>
              <w:rPr>
                <w:rFonts w:ascii="宋体"/>
                <w:color w:val="000000" w:themeColor="text1"/>
                <w:spacing w:val="-10"/>
                <w:sz w:val="20"/>
                <w:szCs w:val="20"/>
                <w14:textFill>
                  <w14:solidFill>
                    <w14:schemeClr w14:val="tx1"/>
                  </w14:solidFill>
                </w14:textFill>
              </w:rPr>
            </w:pPr>
            <w:r>
              <w:rPr>
                <w:rFonts w:hint="eastAsia"/>
                <w:b/>
                <w:color w:val="000000" w:themeColor="text1"/>
                <w:spacing w:val="-10"/>
                <w:szCs w:val="21"/>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p>
        </w:tc>
        <w:tc>
          <w:tcPr>
            <w:tcW w:w="1308"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3</w:t>
            </w:r>
            <w:r>
              <w:rPr>
                <w:rFonts w:hint="eastAsia" w:ascii="宋体" w:hAnsi="宋体"/>
                <w:color w:val="000000" w:themeColor="text1"/>
                <w:sz w:val="20"/>
                <w:szCs w:val="20"/>
                <w14:textFill>
                  <w14:solidFill>
                    <w14:schemeClr w14:val="tx1"/>
                  </w14:solidFill>
                </w14:textFill>
              </w:rPr>
              <w:t xml:space="preserve">）删减是否合理 </w:t>
            </w:r>
          </w:p>
        </w:tc>
        <w:tc>
          <w:tcPr>
            <w:tcW w:w="970" w:type="dxa"/>
            <w:gridSpan w:val="2"/>
          </w:tcPr>
          <w:p>
            <w:pPr>
              <w:rPr>
                <w:rFonts w:ascii="宋体"/>
                <w:color w:val="000000" w:themeColor="text1"/>
                <w:spacing w:val="-10"/>
                <w:sz w:val="20"/>
                <w:szCs w:val="20"/>
                <w14:textFill>
                  <w14:solidFill>
                    <w14:schemeClr w14:val="tx1"/>
                  </w14:solidFill>
                </w14:textFill>
              </w:rPr>
            </w:pPr>
            <w:r>
              <w:rPr>
                <w:rFonts w:hint="eastAsia"/>
                <w:b/>
                <w:color w:val="000000" w:themeColor="text1"/>
                <w:spacing w:val="-10"/>
                <w:szCs w:val="21"/>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合理</w:t>
            </w:r>
          </w:p>
        </w:tc>
        <w:tc>
          <w:tcPr>
            <w:tcW w:w="1308"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4</w:t>
            </w:r>
            <w:r>
              <w:rPr>
                <w:rFonts w:hint="eastAsia" w:ascii="宋体" w:hAnsi="宋体"/>
                <w:color w:val="000000" w:themeColor="text1"/>
                <w:sz w:val="20"/>
                <w:szCs w:val="20"/>
                <w14:textFill>
                  <w14:solidFill>
                    <w14:schemeClr w14:val="tx1"/>
                  </w14:solidFill>
                </w14:textFill>
              </w:rPr>
              <w:t>）是否进行了过程识别，</w:t>
            </w:r>
            <w:r>
              <w:rPr>
                <w:rFonts w:ascii="宋体" w:hAnsi="宋体"/>
                <w:color w:val="000000" w:themeColor="text1"/>
                <w:sz w:val="20"/>
                <w:szCs w:val="20"/>
                <w14:textFill>
                  <w14:solidFill>
                    <w14:schemeClr w14:val="tx1"/>
                  </w14:solidFill>
                </w14:textFill>
              </w:rPr>
              <w:t xml:space="preserve"> </w:t>
            </w:r>
          </w:p>
        </w:tc>
        <w:tc>
          <w:tcPr>
            <w:tcW w:w="970" w:type="dxa"/>
            <w:gridSpan w:val="2"/>
          </w:tcPr>
          <w:p>
            <w:pPr>
              <w:rPr>
                <w:rFonts w:ascii="宋体"/>
                <w:color w:val="000000" w:themeColor="text1"/>
                <w:spacing w:val="-10"/>
                <w:sz w:val="20"/>
                <w:szCs w:val="20"/>
                <w14:textFill>
                  <w14:solidFill>
                    <w14:schemeClr w14:val="tx1"/>
                  </w14:solidFill>
                </w14:textFill>
              </w:rPr>
            </w:pPr>
            <w:r>
              <w:rPr>
                <w:rFonts w:hint="eastAsia"/>
                <w:b/>
                <w:color w:val="000000" w:themeColor="text1"/>
                <w:spacing w:val="-10"/>
                <w:szCs w:val="21"/>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p>
        </w:tc>
        <w:tc>
          <w:tcPr>
            <w:tcW w:w="1308"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5</w:t>
            </w:r>
            <w:r>
              <w:rPr>
                <w:rFonts w:hint="eastAsia" w:ascii="宋体" w:hAnsi="宋体"/>
                <w:color w:val="000000" w:themeColor="text1"/>
                <w:sz w:val="20"/>
                <w:szCs w:val="20"/>
                <w14:textFill>
                  <w14:solidFill>
                    <w14:schemeClr w14:val="tx1"/>
                  </w14:solidFill>
                </w14:textFill>
              </w:rPr>
              <w:t>）是否有特殊过程</w:t>
            </w:r>
          </w:p>
        </w:tc>
        <w:tc>
          <w:tcPr>
            <w:tcW w:w="970"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p>
        </w:tc>
        <w:tc>
          <w:tcPr>
            <w:tcW w:w="1308" w:type="dxa"/>
            <w:gridSpan w:val="2"/>
          </w:tcPr>
          <w:p>
            <w:pPr>
              <w:rPr>
                <w:rFonts w:ascii="宋体"/>
                <w:color w:val="000000" w:themeColor="text1"/>
                <w:spacing w:val="-10"/>
                <w:sz w:val="20"/>
                <w:szCs w:val="20"/>
                <w14:textFill>
                  <w14:solidFill>
                    <w14:schemeClr w14:val="tx1"/>
                  </w14:solidFill>
                </w14:textFill>
              </w:rPr>
            </w:pPr>
            <w:r>
              <w:rPr>
                <w:rFonts w:hint="eastAsia" w:ascii="MS Mincho" w:hAnsi="MS Mincho" w:cs="MS Mincho"/>
                <w:b/>
                <w:color w:val="000000" w:themeColor="text1"/>
                <w:spacing w:val="-10"/>
                <w:szCs w:val="21"/>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（6）是否有外包过程</w:t>
            </w:r>
          </w:p>
        </w:tc>
        <w:tc>
          <w:tcPr>
            <w:tcW w:w="970" w:type="dxa"/>
            <w:gridSpan w:val="2"/>
          </w:tcPr>
          <w:p>
            <w:pPr>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p>
        </w:tc>
        <w:tc>
          <w:tcPr>
            <w:tcW w:w="1308" w:type="dxa"/>
            <w:gridSpan w:val="2"/>
          </w:tcPr>
          <w:p>
            <w:pPr>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b/>
                <w:color w:val="000000"/>
                <w:sz w:val="20"/>
                <w:szCs w:val="20"/>
              </w:rPr>
              <w:t>计算机信息系统集成,社会公共安全设备的销售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销售部、采购部、研发技术中心、人事行政部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lang w:eastAsia="zh-CN"/>
              </w:rPr>
              <w:t>管理体系推进部门：人事行政部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研发技术中心</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ascii="宋体"/>
                <w:b/>
                <w:color w:val="000000"/>
                <w:sz w:val="20"/>
                <w:szCs w:val="20"/>
              </w:rPr>
              <w:t>重庆市九龙坡区科园四路170号4-1023</w:t>
            </w: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color w:val="000000" w:themeColor="text1"/>
                <w:sz w:val="20"/>
                <w:szCs w:val="20"/>
                <w14:textFill>
                  <w14:solidFill>
                    <w14:schemeClr w14:val="tx1"/>
                  </w14:solidFill>
                </w14:textFill>
              </w:rPr>
            </w:pPr>
            <w:r>
              <w:rPr>
                <w:rFonts w:hint="eastAsia" w:ascii="宋体" w:hAnsi="宋体"/>
                <w:color w:val="000000"/>
                <w:sz w:val="20"/>
                <w:szCs w:val="20"/>
              </w:rPr>
              <w:t>其使用的建筑设施是：</w:t>
            </w:r>
            <w:r>
              <w:rPr>
                <w:rFonts w:hint="eastAsia" w:ascii="宋体" w:hAnsi="宋体"/>
                <w:color w:val="000000"/>
                <w:sz w:val="20"/>
                <w:szCs w:val="20"/>
                <w:lang w:eastAsia="zh-CN"/>
              </w:rPr>
              <w:t>☑</w:t>
            </w:r>
            <w:r>
              <w:rPr>
                <w:rFonts w:hint="eastAsia" w:ascii="宋体" w:hAnsi="宋体"/>
                <w:color w:val="000000"/>
                <w:sz w:val="20"/>
                <w:szCs w:val="20"/>
              </w:rPr>
              <w:t>自</w:t>
            </w:r>
            <w:r>
              <w:rPr>
                <w:rFonts w:hint="eastAsia" w:ascii="宋体" w:hAnsi="宋体"/>
                <w:color w:val="000000"/>
                <w:sz w:val="20"/>
                <w:szCs w:val="20"/>
                <w:lang w:eastAsia="zh-CN"/>
              </w:rPr>
              <w:t>有</w:t>
            </w:r>
            <w:r>
              <w:rPr>
                <w:rFonts w:hint="eastAsia" w:ascii="宋体" w:hAnsi="宋体"/>
                <w:color w:val="000000"/>
                <w:sz w:val="20"/>
                <w:szCs w:val="20"/>
              </w:rPr>
              <w:t xml:space="preserve">办公用房    □自建厂房 </w:t>
            </w:r>
            <w:r>
              <w:rPr>
                <w:rFonts w:hint="eastAsia" w:ascii="宋体" w:hAnsi="宋体"/>
                <w:color w:val="000000" w:themeColor="text1"/>
                <w:sz w:val="20"/>
                <w:szCs w:val="20"/>
                <w14:textFill>
                  <w14:solidFill>
                    <w14:schemeClr w14:val="tx1"/>
                  </w14:solidFill>
                </w14:textFill>
              </w:rPr>
              <w:t xml:space="preserve">  </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 xml:space="preserve">租用办公用房   </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租用厂房</w:t>
            </w:r>
          </w:p>
          <w:p>
            <w:pPr>
              <w:tabs>
                <w:tab w:val="left" w:pos="360"/>
              </w:tabs>
              <w:ind w:left="357" w:hanging="357"/>
              <w:rPr>
                <w:rFonts w:ascii="宋体" w:hAnsi="宋体"/>
                <w:color w:val="000000"/>
                <w:spacing w:val="-1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 xml:space="preserve"> □是  ☑否</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14:textFill>
                  <w14:solidFill>
                    <w14:schemeClr w14:val="tx1"/>
                  </w14:solidFill>
                </w14:textFill>
              </w:rPr>
              <w:t>运作方式：</w:t>
            </w:r>
            <w:r>
              <w:rPr>
                <w:rFonts w:hint="eastAsia" w:ascii="宋体"/>
                <w:color w:val="000000"/>
                <w:sz w:val="20"/>
                <w:szCs w:val="20"/>
              </w:rPr>
              <w:t>☑白班生产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ind w:firstLine="1000" w:firstLineChars="500"/>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themeColor="text1"/>
                <w:spacing w:val="-10"/>
                <w:sz w:val="20"/>
                <w:szCs w:val="20"/>
                <w14:textFill>
                  <w14:solidFill>
                    <w14:schemeClr w14:val="tx1"/>
                  </w14:solidFill>
                </w14:textFill>
              </w:rPr>
            </w:pPr>
            <w:r>
              <w:rPr>
                <w:rFonts w:hint="eastAsia" w:ascii="宋体"/>
                <w:color w:val="000000"/>
                <w:sz w:val="20"/>
                <w:szCs w:val="20"/>
              </w:rPr>
              <w:t>□</w:t>
            </w:r>
            <w:r>
              <w:rPr>
                <w:rFonts w:hint="eastAsia" w:ascii="宋体" w:hAnsi="宋体"/>
                <w:color w:val="000000" w:themeColor="text1"/>
                <w:spacing w:val="-10"/>
                <w:sz w:val="20"/>
                <w:szCs w:val="20"/>
                <w14:textFill>
                  <w14:solidFill>
                    <w14:schemeClr w14:val="tx1"/>
                  </w14:solidFill>
                </w14:textFill>
              </w:rPr>
              <w:t>产品技术标准号：</w:t>
            </w:r>
            <w:r>
              <w:rPr>
                <w:rFonts w:hint="eastAsia" w:ascii="宋体" w:hAnsi="宋体"/>
                <w:sz w:val="21"/>
                <w:szCs w:val="21"/>
              </w:rPr>
              <w:t>《智能建筑设计标准》GB/T 50314-2006</w:t>
            </w:r>
            <w:r>
              <w:rPr>
                <w:rFonts w:hint="eastAsia" w:ascii="宋体" w:hAnsi="宋体"/>
                <w:sz w:val="21"/>
                <w:szCs w:val="21"/>
                <w:lang w:eastAsia="zh-CN"/>
              </w:rPr>
              <w:t>、</w:t>
            </w:r>
            <w:r>
              <w:rPr>
                <w:rFonts w:hint="eastAsia" w:ascii="宋体" w:hAnsi="宋体"/>
                <w:sz w:val="21"/>
                <w:szCs w:val="21"/>
              </w:rPr>
              <w:t>《智能建筑工程质量验收规范》GB50339-2003《安全防范工程技术规范》GB50348-2004</w:t>
            </w:r>
            <w:r>
              <w:rPr>
                <w:rFonts w:hint="eastAsia" w:ascii="宋体" w:hAnsi="宋体"/>
                <w:sz w:val="21"/>
                <w:szCs w:val="21"/>
                <w:lang w:eastAsia="zh-CN"/>
              </w:rPr>
              <w:t>、</w:t>
            </w:r>
            <w:r>
              <w:rPr>
                <w:rFonts w:hint="eastAsia" w:ascii="宋体" w:hAnsi="宋体"/>
                <w:sz w:val="21"/>
                <w:szCs w:val="21"/>
              </w:rPr>
              <w:t>《民用闭路监视电视系统工程技术规范》GB50198-94</w:t>
            </w:r>
            <w:r>
              <w:rPr>
                <w:rFonts w:hint="eastAsia" w:ascii="宋体" w:hAnsi="宋体"/>
                <w:sz w:val="21"/>
                <w:szCs w:val="21"/>
                <w:lang w:eastAsia="zh-CN"/>
              </w:rPr>
              <w:t>、</w:t>
            </w:r>
            <w:r>
              <w:rPr>
                <w:rFonts w:hint="eastAsia" w:ascii="宋体" w:hAnsi="宋体"/>
                <w:sz w:val="21"/>
                <w:szCs w:val="21"/>
              </w:rPr>
              <w:t>《视频安防监控系统工程设计规范》GB50395-2007</w:t>
            </w:r>
            <w:r>
              <w:rPr>
                <w:rFonts w:hint="eastAsia" w:ascii="宋体" w:hAnsi="宋体"/>
                <w:sz w:val="21"/>
                <w:szCs w:val="21"/>
                <w:lang w:eastAsia="zh-CN"/>
              </w:rPr>
              <w:t>、</w:t>
            </w:r>
            <w:r>
              <w:rPr>
                <w:rFonts w:hint="eastAsia" w:ascii="宋体" w:hAnsi="宋体"/>
                <w:sz w:val="21"/>
                <w:szCs w:val="21"/>
              </w:rPr>
              <w:t>《视频安防监控数字录像设备》GB20815-2006</w:t>
            </w:r>
            <w:r>
              <w:rPr>
                <w:rFonts w:hint="eastAsia" w:ascii="宋体" w:hAnsi="宋体"/>
                <w:sz w:val="21"/>
                <w:szCs w:val="21"/>
                <w:lang w:eastAsia="zh-CN"/>
              </w:rPr>
              <w:t>、</w:t>
            </w:r>
            <w:r>
              <w:rPr>
                <w:rFonts w:hint="eastAsia" w:ascii="宋体" w:hAnsi="宋体"/>
                <w:sz w:val="21"/>
                <w:szCs w:val="21"/>
              </w:rPr>
              <w:t>《民用建筑电气设计规范》JGJ/T16-92</w:t>
            </w:r>
            <w:r>
              <w:rPr>
                <w:rFonts w:hint="eastAsia" w:ascii="宋体" w:hAnsi="宋体"/>
                <w:sz w:val="21"/>
                <w:szCs w:val="21"/>
                <w:lang w:eastAsia="zh-CN"/>
              </w:rPr>
              <w:t>、</w:t>
            </w:r>
            <w:r>
              <w:rPr>
                <w:rFonts w:hint="eastAsia" w:ascii="宋体" w:hAnsi="宋体"/>
                <w:sz w:val="21"/>
                <w:szCs w:val="21"/>
              </w:rPr>
              <w:t>《金属线槽配线安装工艺标准》（313-1998）</w:t>
            </w:r>
            <w:r>
              <w:rPr>
                <w:rFonts w:hint="eastAsia" w:ascii="宋体" w:hAnsi="宋体"/>
                <w:sz w:val="21"/>
                <w:szCs w:val="21"/>
                <w:lang w:eastAsia="zh-CN"/>
              </w:rPr>
              <w:t>、</w:t>
            </w:r>
            <w:r>
              <w:rPr>
                <w:rFonts w:hint="eastAsia" w:ascii="宋体" w:hAnsi="宋体"/>
                <w:sz w:val="21"/>
                <w:szCs w:val="21"/>
              </w:rPr>
              <w:t>《钢管敷设工艺标准》（305-1998）</w:t>
            </w:r>
            <w:r>
              <w:rPr>
                <w:rFonts w:hint="eastAsia" w:ascii="宋体" w:hAnsi="宋体"/>
                <w:sz w:val="21"/>
                <w:szCs w:val="21"/>
                <w:lang w:eastAsia="zh-CN"/>
              </w:rPr>
              <w:t>、</w:t>
            </w:r>
            <w:r>
              <w:rPr>
                <w:rFonts w:hint="eastAsia" w:ascii="宋体" w:hAnsi="宋体"/>
                <w:sz w:val="21"/>
                <w:szCs w:val="21"/>
              </w:rPr>
              <w:t>《安全防范工程程序要求》（GB-T75-94）等。</w:t>
            </w:r>
          </w:p>
          <w:p>
            <w:pPr>
              <w:rPr>
                <w:rFonts w:ascii="宋体"/>
                <w:color w:val="000000"/>
                <w:spacing w:val="-10"/>
                <w:sz w:val="20"/>
                <w:szCs w:val="20"/>
              </w:rPr>
            </w:pP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现场是否有产品检验报告</w:t>
            </w:r>
            <w:r>
              <w:rPr>
                <w:rFonts w:ascii="宋体" w:hAnsi="宋体"/>
                <w:color w:val="000000" w:themeColor="text1"/>
                <w:spacing w:val="-10"/>
                <w:sz w:val="20"/>
                <w:szCs w:val="20"/>
                <w14:textFill>
                  <w14:solidFill>
                    <w14:schemeClr w14:val="tx1"/>
                  </w14:solidFill>
                </w14:textFill>
              </w:rPr>
              <w:t xml:space="preserve">  </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14:textFill>
                  <w14:solidFill>
                    <w14:schemeClr w14:val="tx1"/>
                  </w14:solidFill>
                </w14:textFill>
              </w:rPr>
            </w:pPr>
            <w:r>
              <w:rPr>
                <w:rFonts w:hint="eastAsia" w:ascii="宋体"/>
                <w:color w:val="000000" w:themeColor="text1"/>
                <w:sz w:val="20"/>
                <w:szCs w:val="20"/>
                <w14:textFill>
                  <w14:solidFill>
                    <w14:schemeClr w14:val="tx1"/>
                  </w14:solidFill>
                </w14:textFill>
              </w:rPr>
              <w:t>是否需要型式</w:t>
            </w:r>
            <w:r>
              <w:rPr>
                <w:rFonts w:hint="eastAsia" w:ascii="宋体" w:hAnsi="宋体"/>
                <w:color w:val="000000" w:themeColor="text1"/>
                <w:spacing w:val="-10"/>
                <w:sz w:val="20"/>
                <w:szCs w:val="20"/>
                <w14:textFill>
                  <w14:solidFill>
                    <w14:schemeClr w14:val="tx1"/>
                  </w14:solidFill>
                </w14:textFill>
              </w:rPr>
              <w:t>试验□是</w:t>
            </w:r>
            <w:r>
              <w:rPr>
                <w:rFonts w:hint="eastAsia" w:ascii="MS Mincho" w:hAnsi="MS Mincho" w:cs="MS Mincho"/>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否，是否有型式试验报告□是</w:t>
            </w:r>
            <w:r>
              <w:rPr>
                <w:rFonts w:hint="eastAsia" w:ascii="MS Mincho" w:hAnsi="MS Mincho" w:cs="MS Mincho"/>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计算机信息系统集成工艺流程：项目立项→确定方案→合同签订→采购→安装调试→项目验收→交付</w:t>
            </w:r>
          </w:p>
          <w:p>
            <w:pPr>
              <w:rPr>
                <w:rFonts w:hint="eastAsia" w:ascii="宋体" w:hAns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社会公共安全设备的销售工艺流程</w:t>
            </w:r>
            <w:r>
              <w:rPr>
                <w:rFonts w:hint="eastAsia" w:ascii="宋体" w:hAnsi="宋体"/>
                <w:color w:val="000000" w:themeColor="text1"/>
                <w:spacing w:val="-10"/>
                <w:sz w:val="20"/>
                <w:szCs w:val="20"/>
                <w:lang w:eastAsia="zh-CN"/>
                <w14:textFill>
                  <w14:solidFill>
                    <w14:schemeClr w14:val="tx1"/>
                  </w14:solidFill>
                </w14:textFill>
              </w:rPr>
              <w:t>：签订合同</w:t>
            </w:r>
            <w:r>
              <w:rPr>
                <w:rFonts w:hint="eastAsia" w:ascii="宋体" w:hAnsi="宋体"/>
                <w:color w:val="000000" w:themeColor="text1"/>
                <w:spacing w:val="-10"/>
                <w:sz w:val="20"/>
                <w:szCs w:val="20"/>
                <w:lang w:val="en-US" w:eastAsia="zh-CN"/>
                <w14:textFill>
                  <w14:solidFill>
                    <w14:schemeClr w14:val="tx1"/>
                  </w14:solidFill>
                </w14:textFill>
              </w:rPr>
              <w:t>--采购产品--验收产品--交付客户</w:t>
            </w:r>
          </w:p>
          <w:p>
            <w:pPr>
              <w:rPr>
                <w:rFonts w:hint="eastAsia" w:ascii="宋体" w:eastAsia="宋体"/>
                <w:color w:val="000000"/>
                <w:sz w:val="20"/>
                <w:szCs w:val="20"/>
                <w:lang w:eastAsia="zh-CN"/>
              </w:rPr>
            </w:pPr>
            <w:r>
              <w:rPr>
                <w:rFonts w:hint="eastAsia" w:ascii="宋体" w:hAnsi="宋体"/>
                <w:color w:val="000000" w:themeColor="text1"/>
                <w:spacing w:val="-10"/>
                <w:sz w:val="20"/>
                <w:szCs w:val="20"/>
                <w14:textFill>
                  <w14:solidFill>
                    <w14:schemeClr w14:val="tx1"/>
                  </w14:solidFill>
                </w14:textFill>
              </w:rPr>
              <w:t>特殊过程：隐蔽工程</w:t>
            </w:r>
            <w:r>
              <w:rPr>
                <w:rFonts w:hint="eastAsia" w:ascii="宋体" w:hAnsi="宋体"/>
                <w:color w:val="000000" w:themeColor="text1"/>
                <w:spacing w:val="-10"/>
                <w:sz w:val="20"/>
                <w:szCs w:val="20"/>
                <w:lang w:eastAsia="zh-CN"/>
                <w14:textFill>
                  <w14:solidFill>
                    <w14:schemeClr w14:val="tx1"/>
                  </w14:solidFill>
                </w14:textFill>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关键过程有：</w:t>
            </w:r>
            <w:r>
              <w:rPr>
                <w:rFonts w:hint="eastAsia" w:ascii="宋体" w:hAnsi="宋体"/>
                <w:sz w:val="20"/>
                <w:szCs w:val="20"/>
              </w:rPr>
              <w:t>安装</w:t>
            </w:r>
            <w:r>
              <w:rPr>
                <w:rFonts w:hint="eastAsia" w:ascii="宋体" w:hAnsi="宋体"/>
                <w:szCs w:val="21"/>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针对关键过程建立的控制文件有：</w:t>
            </w:r>
            <w:r>
              <w:rPr>
                <w:rFonts w:hint="eastAsia" w:ascii="宋体" w:hAnsi="宋体"/>
              </w:rPr>
              <w:t>运行策划和控制程序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需要确认过程：</w:t>
            </w:r>
            <w:r>
              <w:rPr>
                <w:rFonts w:hint="eastAsia" w:ascii="宋体" w:hAnsi="宋体"/>
                <w:color w:val="000000" w:themeColor="text1"/>
                <w:szCs w:val="21"/>
                <w14:textFill>
                  <w14:solidFill>
                    <w14:schemeClr w14:val="tx1"/>
                  </w14:solidFill>
                </w14:textFill>
              </w:rPr>
              <w:t>隐蔽工程</w:t>
            </w:r>
            <w:r>
              <w:rPr>
                <w:rFonts w:hint="eastAsia" w:ascii="宋体" w:hAnsi="宋体"/>
                <w:color w:val="000000" w:themeColor="text1"/>
                <w:szCs w:val="21"/>
                <w:lang w:eastAsia="zh-CN"/>
                <w14:textFill>
                  <w14:solidFill>
                    <w14:schemeClr w14:val="tx1"/>
                  </w14:solidFill>
                </w14:textFill>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是否明确了过程的确认方法□是☑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spacing w:val="-10"/>
                <w:sz w:val="20"/>
                <w:szCs w:val="20"/>
              </w:rPr>
              <w:t>外包过程有：</w:t>
            </w:r>
            <w:r>
              <w:rPr>
                <w:rFonts w:hint="eastAsia" w:ascii="宋体" w:hAnsi="宋体"/>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是否明确了外包过程的控制方法：外部供方控制程序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eastAsia="宋体"/>
                <w:color w:val="000000"/>
                <w:spacing w:val="-10"/>
                <w:sz w:val="20"/>
                <w:szCs w:val="20"/>
                <w:lang w:eastAsia="zh-CN"/>
              </w:rPr>
            </w:pPr>
            <w:r>
              <w:rPr>
                <w:rFonts w:hint="eastAsia" w:ascii="宋体" w:hAnsi="宋体"/>
                <w:color w:val="000000"/>
                <w:spacing w:val="-10"/>
                <w:sz w:val="20"/>
                <w:szCs w:val="20"/>
              </w:rPr>
              <w:t>主要</w:t>
            </w:r>
            <w:r>
              <w:rPr>
                <w:rFonts w:hint="eastAsia" w:ascii="宋体" w:hAnsi="宋体"/>
                <w:color w:val="000000" w:themeColor="text1"/>
                <w:spacing w:val="-10"/>
                <w:sz w:val="20"/>
                <w:szCs w:val="20"/>
                <w14:textFill>
                  <w14:solidFill>
                    <w14:schemeClr w14:val="tx1"/>
                  </w14:solidFill>
                </w14:textFill>
              </w:rPr>
              <w:t>设备：</w:t>
            </w:r>
            <w:r>
              <w:rPr>
                <w:rFonts w:hint="eastAsia" w:ascii="宋体" w:hAnsi="宋体"/>
                <w:spacing w:val="-10"/>
                <w:sz w:val="20"/>
                <w:szCs w:val="20"/>
              </w:rPr>
              <w:t>电脑、打印机、复印机、压线钳、电锤、穿管器、人字梯、五金工具等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hAnsi="宋体" w:eastAsia="宋体"/>
                <w:color w:val="000000" w:themeColor="text1"/>
                <w:spacing w:val="-10"/>
                <w:sz w:val="20"/>
                <w:szCs w:val="20"/>
                <w:lang w:val="en-US" w:eastAsia="zh-CN"/>
                <w14:textFill>
                  <w14:solidFill>
                    <w14:schemeClr w14:val="tx1"/>
                  </w14:solidFill>
                </w14:textFill>
              </w:rPr>
            </w:pPr>
            <w:r>
              <w:rPr>
                <w:rFonts w:hint="eastAsia" w:ascii="宋体" w:hAnsi="宋体"/>
                <w:spacing w:val="-10"/>
                <w:sz w:val="20"/>
                <w:szCs w:val="20"/>
              </w:rPr>
              <w:t>特种设备</w:t>
            </w:r>
            <w:r>
              <w:rPr>
                <w:rFonts w:hint="eastAsia" w:ascii="宋体" w:hAnsi="宋体"/>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 xml:space="preserve">特种设备是否按规定检定            </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监视和测量设备（请简述主要监视和测量设备）：万用表、</w:t>
            </w:r>
            <w:r>
              <w:rPr>
                <w:rFonts w:hint="eastAsia" w:ascii="宋体" w:hAnsi="宋体"/>
                <w:color w:val="000000"/>
                <w:spacing w:val="-10"/>
                <w:sz w:val="20"/>
                <w:szCs w:val="20"/>
                <w:lang w:val="en-US" w:eastAsia="zh-CN"/>
              </w:rPr>
              <w:t>线缆测试仪</w:t>
            </w:r>
            <w:r>
              <w:rPr>
                <w:rFonts w:hint="eastAsia" w:ascii="宋体" w:hAnsi="宋体"/>
                <w:color w:val="000000"/>
                <w:spacing w:val="-10"/>
                <w:sz w:val="20"/>
                <w:szCs w:val="20"/>
              </w:rPr>
              <w:t>等，</w:t>
            </w:r>
            <w:r>
              <w:rPr>
                <w:rFonts w:hint="eastAsia" w:ascii="宋体" w:hAnsi="宋体"/>
                <w:color w:val="000000"/>
                <w:spacing w:val="-10"/>
                <w:sz w:val="20"/>
                <w:szCs w:val="20"/>
                <w:lang w:eastAsia="zh-CN"/>
              </w:rPr>
              <w:t>不</w:t>
            </w:r>
            <w:r>
              <w:rPr>
                <w:rFonts w:hint="eastAsia" w:ascii="宋体" w:hAnsi="宋体"/>
                <w:color w:val="000000"/>
                <w:spacing w:val="-10"/>
                <w:sz w:val="20"/>
                <w:szCs w:val="20"/>
              </w:rPr>
              <w:t>能提供有效的校准证书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14:textFill>
                  <w14:solidFill>
                    <w14:schemeClr w14:val="tx1"/>
                  </w14:solidFill>
                </w14:textFill>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10</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研发技术中心、销售部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重点审核场所：办公场所、生产场所。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jc w:val="lef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Cs w:val="21"/>
                <w:lang w:eastAsia="zh-CN"/>
              </w:rPr>
              <w:t>2019年6月</w:t>
            </w:r>
            <w:r>
              <w:rPr>
                <w:rFonts w:hint="eastAsia"/>
                <w:szCs w:val="21"/>
                <w:lang w:val="en-US" w:eastAsia="zh-CN"/>
              </w:rPr>
              <w:t>8</w:t>
            </w:r>
            <w:r>
              <w:rPr>
                <w:rFonts w:hint="eastAsia"/>
                <w:szCs w:val="21"/>
                <w:lang w:eastAsia="zh-CN"/>
              </w:rPr>
              <w:t>日</w:t>
            </w:r>
            <w:r>
              <w:rPr>
                <w:rFonts w:hint="eastAsia"/>
                <w:szCs w:val="21"/>
              </w:rPr>
              <w:t>进行了内部审核。内部审核组组成：</w:t>
            </w:r>
            <w:r>
              <w:rPr>
                <w:rFonts w:hint="eastAsia" w:ascii="宋体" w:hAnsi="宋体" w:cs="宋体"/>
                <w:color w:val="000000"/>
              </w:rPr>
              <w:t>组</w:t>
            </w:r>
            <w:r>
              <w:rPr>
                <w:rFonts w:hint="eastAsia" w:ascii="宋体" w:hAnsi="宋体"/>
                <w:kern w:val="0"/>
                <w:sz w:val="21"/>
                <w:szCs w:val="21"/>
                <w:lang w:eastAsia="zh-CN"/>
              </w:rPr>
              <w:t>长</w:t>
            </w:r>
            <w:r>
              <w:rPr>
                <w:rFonts w:hint="eastAsia"/>
                <w:szCs w:val="21"/>
                <w:lang w:eastAsia="zh-CN"/>
              </w:rPr>
              <w:t>：贺豫</w:t>
            </w:r>
            <w:r>
              <w:rPr>
                <w:rFonts w:hint="eastAsia"/>
                <w:szCs w:val="21"/>
              </w:rPr>
              <w:t xml:space="preserve"> </w:t>
            </w:r>
            <w:r>
              <w:rPr>
                <w:rFonts w:hint="eastAsia"/>
                <w:szCs w:val="21"/>
                <w:lang w:eastAsia="zh-CN"/>
              </w:rPr>
              <w:t xml:space="preserve">      组员：</w:t>
            </w:r>
            <w:r>
              <w:rPr>
                <w:rFonts w:hint="eastAsia"/>
                <w:szCs w:val="21"/>
              </w:rPr>
              <w:t xml:space="preserve"> </w:t>
            </w:r>
            <w:r>
              <w:rPr>
                <w:rFonts w:hint="eastAsia"/>
                <w:szCs w:val="21"/>
                <w:lang w:eastAsia="zh-CN"/>
              </w:rPr>
              <w:t>戚芳菁</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rPr>
            </w:pPr>
            <w:r>
              <w:rPr>
                <w:rFonts w:hint="eastAsia"/>
                <w:szCs w:val="21"/>
              </w:rPr>
              <w:t>审核范围:管理体系涉及的公司所有部门及活动场所。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400" w:lineRule="exact"/>
              <w:rPr>
                <w:rFonts w:hint="eastAsia"/>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w:t>
            </w:r>
            <w:r>
              <w:rPr>
                <w:rFonts w:hint="eastAsia"/>
                <w:szCs w:val="21"/>
                <w:lang w:eastAsia="zh-CN"/>
              </w:rPr>
              <w:t>体系</w:t>
            </w:r>
            <w:r>
              <w:rPr>
                <w:rFonts w:hint="eastAsia"/>
                <w:szCs w:val="21"/>
              </w:rPr>
              <w:t>培训。</w:t>
            </w:r>
          </w:p>
          <w:p>
            <w:pPr>
              <w:spacing w:line="40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400" w:lineRule="exact"/>
              <w:rPr>
                <w:rFonts w:hint="eastAsia"/>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7</w:t>
            </w:r>
            <w:r>
              <w:rPr>
                <w:rFonts w:hint="eastAsia" w:ascii="宋体" w:hAnsi="宋体"/>
                <w:kern w:val="0"/>
                <w:szCs w:val="21"/>
              </w:rPr>
              <w:t>月</w:t>
            </w:r>
            <w:r>
              <w:rPr>
                <w:rFonts w:hint="eastAsia" w:ascii="宋体" w:hAnsi="宋体"/>
                <w:kern w:val="0"/>
                <w:szCs w:val="21"/>
                <w:lang w:val="en-US" w:eastAsia="zh-CN"/>
              </w:rPr>
              <w:t>20</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14:textFill>
            <w14:solidFill>
              <w14:schemeClr w14:val="tx1"/>
            </w14:solidFill>
          </w14:textFill>
        </w:rPr>
      </w:pPr>
      <w:r>
        <w:rPr>
          <w:rFonts w:hint="eastAsia" w:ascii="宋体" w:hAnsi="宋体"/>
          <w:b/>
          <w:color w:val="000000"/>
          <w:sz w:val="26"/>
          <w:szCs w:val="26"/>
        </w:rPr>
        <w:t>十</w:t>
      </w:r>
      <w:r>
        <w:rPr>
          <w:rFonts w:hint="eastAsia" w:ascii="宋体" w:hAnsi="宋体"/>
          <w:b/>
          <w:color w:val="000000" w:themeColor="text1"/>
          <w:sz w:val="26"/>
          <w:szCs w:val="26"/>
          <w14:textFill>
            <w14:solidFill>
              <w14:schemeClr w14:val="tx1"/>
            </w14:solidFill>
          </w14:textFill>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 xml:space="preserve">1. </w:t>
            </w:r>
            <w:r>
              <w:rPr>
                <w:rFonts w:hint="eastAsia" w:ascii="宋体" w:hAnsi="宋体"/>
                <w:b/>
                <w:color w:val="000000" w:themeColor="text1"/>
                <w:sz w:val="20"/>
                <w:szCs w:val="20"/>
                <w14:textFill>
                  <w14:solidFill>
                    <w14:schemeClr w14:val="tx1"/>
                  </w14:solidFill>
                </w14:textFill>
              </w:rPr>
              <w:t>组织是否具备二阶段审核条件</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QMS /</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EMS/</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OHSMS)</w:t>
            </w:r>
          </w:p>
          <w:p>
            <w:pPr>
              <w:spacing w:line="280" w:lineRule="exact"/>
              <w:rPr>
                <w:rFonts w:ascii="宋体"/>
                <w:b/>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具备</w:t>
            </w:r>
          </w:p>
          <w:p>
            <w:pPr>
              <w:tabs>
                <w:tab w:val="left" w:pos="5770"/>
              </w:tabs>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二阶段审核现场验证</w:t>
            </w:r>
            <w:r>
              <w:rPr>
                <w:rFonts w:ascii="宋体"/>
                <w:b/>
                <w:color w:val="000000" w:themeColor="text1"/>
                <w:sz w:val="20"/>
                <w:szCs w:val="20"/>
                <w14:textFill>
                  <w14:solidFill>
                    <w14:schemeClr w14:val="tx1"/>
                  </w14:solidFill>
                </w14:textFill>
              </w:rPr>
              <w:tab/>
            </w:r>
          </w:p>
          <w:p>
            <w:pPr>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二阶段审核前需完成“问题清单”的整改</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附件二</w:t>
            </w:r>
            <w:r>
              <w:rPr>
                <w:rFonts w:ascii="宋体" w:hAnsi="宋体"/>
                <w:b/>
                <w:color w:val="000000" w:themeColor="text1"/>
                <w:sz w:val="20"/>
                <w:szCs w:val="20"/>
                <w14:textFill>
                  <w14:solidFill>
                    <w14:schemeClr w14:val="tx1"/>
                  </w14:solidFill>
                </w14:textFill>
              </w:rPr>
              <w:t xml:space="preserve">)   </w:t>
            </w:r>
          </w:p>
          <w:p>
            <w:pPr>
              <w:spacing w:line="280" w:lineRule="exact"/>
              <w:rPr>
                <w:rFonts w:ascii="宋体"/>
                <w:b/>
                <w:color w:val="000000" w:themeColor="text1"/>
                <w:sz w:val="16"/>
                <w:szCs w:val="16"/>
                <w14:textFill>
                  <w14:solidFill>
                    <w14:schemeClr w14:val="tx1"/>
                  </w14:solidFill>
                </w14:textFill>
              </w:rPr>
            </w:pPr>
            <w:r>
              <w:rPr>
                <w:rFonts w:hint="eastAsia" w:ascii="宋体" w:hAnsi="宋体"/>
                <w:b/>
                <w:color w:val="000000" w:themeColor="text1"/>
                <w:spacing w:val="-10"/>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不具备</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color w:val="000000"/>
          <w:szCs w:val="21"/>
        </w:rPr>
        <w:t xml:space="preserve"> </w:t>
      </w:r>
      <w:r>
        <w:rPr>
          <w:rFonts w:ascii="宋体" w:hAnsi="宋体"/>
          <w:b/>
          <w:color w:val="000000"/>
          <w:sz w:val="20"/>
          <w:szCs w:val="20"/>
        </w:rPr>
        <w:t>计算机信息系统集成,社会公共安全设备的销售</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受审核方：重庆旭纳科技有限责任公司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ascii="宋体"/>
                <w:color w:val="000000" w:themeColor="text1"/>
                <w:sz w:val="24"/>
                <w:szCs w:val="24"/>
                <w14:textFill>
                  <w14:solidFill>
                    <w14:schemeClr w14:val="tx1"/>
                  </w14:solidFill>
                </w14:textFill>
              </w:rPr>
            </w:pPr>
          </w:p>
          <w:p>
            <w:pPr>
              <w:pStyle w:val="4"/>
              <w:pBdr>
                <w:bottom w:val="none" w:color="auto" w:sz="0" w:space="0"/>
              </w:pBdr>
              <w:ind w:right="600"/>
              <w:jc w:val="left"/>
              <w:rPr>
                <w:rFonts w:hint="eastAsia" w:ascii="宋体" w:eastAsia="宋体"/>
                <w:color w:val="000000" w:themeColor="text1"/>
                <w:sz w:val="24"/>
                <w:szCs w:val="24"/>
                <w:lang w:val="en-US" w:eastAsia="zh-CN"/>
                <w14:textFill>
                  <w14:solidFill>
                    <w14:schemeClr w14:val="tx1"/>
                  </w14:solidFill>
                </w14:textFill>
              </w:rPr>
            </w:pPr>
            <w:r>
              <w:rPr>
                <w:rFonts w:hint="eastAsia" w:ascii="宋体"/>
                <w:color w:val="000000" w:themeColor="text1"/>
                <w:sz w:val="24"/>
                <w:szCs w:val="24"/>
                <w:lang w:val="en-US" w:eastAsia="zh-CN"/>
                <w14:textFill>
                  <w14:solidFill>
                    <w14:schemeClr w14:val="tx1"/>
                  </w14:solidFill>
                </w14:textFill>
              </w:rPr>
              <w:t>1</w:t>
            </w:r>
          </w:p>
          <w:p>
            <w:pPr>
              <w:pStyle w:val="4"/>
              <w:pBdr>
                <w:bottom w:val="none" w:color="auto" w:sz="0" w:space="0"/>
              </w:pBdr>
              <w:ind w:right="600"/>
              <w:jc w:val="left"/>
              <w:rPr>
                <w:rFonts w:ascii="宋体"/>
                <w:color w:val="000000" w:themeColor="text1"/>
                <w:sz w:val="24"/>
                <w:szCs w:val="24"/>
                <w14:textFill>
                  <w14:solidFill>
                    <w14:schemeClr w14:val="tx1"/>
                  </w14:solidFill>
                </w14:textFill>
              </w:rPr>
            </w:pPr>
          </w:p>
          <w:p>
            <w:pPr>
              <w:pStyle w:val="4"/>
              <w:pBdr>
                <w:bottom w:val="none" w:color="auto" w:sz="0" w:space="0"/>
              </w:pBdr>
              <w:ind w:right="600"/>
              <w:jc w:val="left"/>
              <w:rPr>
                <w:rFonts w:ascii="宋体"/>
                <w:color w:val="000000" w:themeColor="text1"/>
                <w:sz w:val="24"/>
                <w:szCs w:val="24"/>
                <w14:textFill>
                  <w14:solidFill>
                    <w14:schemeClr w14:val="tx1"/>
                  </w14:solidFill>
                </w14:textFill>
              </w:rPr>
            </w:pPr>
          </w:p>
          <w:p>
            <w:pPr>
              <w:pStyle w:val="4"/>
              <w:pBdr>
                <w:bottom w:val="none" w:color="auto" w:sz="0" w:space="0"/>
              </w:pBdr>
              <w:ind w:right="600"/>
              <w:jc w:val="left"/>
              <w:rPr>
                <w:rFonts w:ascii="宋体"/>
                <w:color w:val="000000" w:themeColor="text1"/>
                <w:sz w:val="24"/>
                <w:szCs w:val="24"/>
                <w14:textFill>
                  <w14:solidFill>
                    <w14:schemeClr w14:val="tx1"/>
                  </w14:solidFill>
                </w14:textFill>
              </w:rPr>
            </w:pPr>
          </w:p>
          <w:p>
            <w:pPr>
              <w:pStyle w:val="4"/>
              <w:pBdr>
                <w:bottom w:val="none" w:color="auto" w:sz="0" w:space="0"/>
              </w:pBdr>
              <w:ind w:right="600"/>
              <w:jc w:val="left"/>
              <w:rPr>
                <w:rFonts w:ascii="宋体"/>
                <w:color w:val="000000" w:themeColor="text1"/>
                <w:sz w:val="24"/>
                <w:szCs w:val="24"/>
                <w14:textFill>
                  <w14:solidFill>
                    <w14:schemeClr w14:val="tx1"/>
                  </w14:solidFill>
                </w14:textFill>
              </w:rPr>
            </w:pPr>
          </w:p>
          <w:p>
            <w:pPr>
              <w:pStyle w:val="4"/>
              <w:pBdr>
                <w:bottom w:val="none" w:color="auto" w:sz="0" w:space="0"/>
              </w:pBdr>
              <w:ind w:right="600"/>
              <w:jc w:val="left"/>
              <w:rPr>
                <w:rFonts w:ascii="宋体"/>
                <w:color w:val="000000" w:themeColor="text1"/>
                <w:sz w:val="24"/>
                <w:szCs w:val="24"/>
                <w14:textFill>
                  <w14:solidFill>
                    <w14:schemeClr w14:val="tx1"/>
                  </w14:solidFill>
                </w14:textFill>
              </w:rPr>
            </w:pPr>
          </w:p>
          <w:p>
            <w:pPr>
              <w:pStyle w:val="4"/>
              <w:pBdr>
                <w:bottom w:val="none" w:color="auto" w:sz="0" w:space="0"/>
              </w:pBdr>
              <w:ind w:right="600"/>
              <w:jc w:val="left"/>
              <w:rPr>
                <w:rFonts w:hint="eastAsia" w:ascii="宋体" w:eastAsia="宋体"/>
                <w:color w:val="000000" w:themeColor="text1"/>
                <w:sz w:val="24"/>
                <w:szCs w:val="24"/>
                <w:lang w:val="en-US" w:eastAsia="zh-CN"/>
                <w14:textFill>
                  <w14:solidFill>
                    <w14:schemeClr w14:val="tx1"/>
                  </w14:solidFill>
                </w14:textFill>
              </w:rPr>
            </w:pPr>
          </w:p>
        </w:tc>
        <w:tc>
          <w:tcPr>
            <w:tcW w:w="5681" w:type="dxa"/>
          </w:tcPr>
          <w:p>
            <w:pPr>
              <w:pStyle w:val="4"/>
              <w:pBdr>
                <w:bottom w:val="none" w:color="auto" w:sz="0" w:space="0"/>
              </w:pBdr>
              <w:tabs>
                <w:tab w:val="center" w:pos="5737"/>
                <w:tab w:val="clear" w:pos="4153"/>
              </w:tabs>
              <w:ind w:firstLine="420" w:firstLineChars="200"/>
              <w:jc w:val="left"/>
              <w:rPr>
                <w:rFonts w:ascii="宋体" w:hAnsi="宋体" w:cs="宋体"/>
                <w:color w:val="000000" w:themeColor="text1"/>
                <w:sz w:val="21"/>
                <w:szCs w:val="21"/>
                <w14:textFill>
                  <w14:solidFill>
                    <w14:schemeClr w14:val="tx1"/>
                  </w14:solidFill>
                </w14:textFill>
              </w:rPr>
            </w:pPr>
          </w:p>
          <w:p>
            <w:pPr>
              <w:pStyle w:val="4"/>
              <w:pBdr>
                <w:bottom w:val="none" w:color="auto" w:sz="0" w:space="0"/>
              </w:pBdr>
              <w:tabs>
                <w:tab w:val="center" w:pos="5737"/>
                <w:tab w:val="clear" w:pos="4153"/>
              </w:tabs>
              <w:ind w:firstLine="420" w:firstLineChars="20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抽查在用检测设备的检定或校准证书,</w:t>
            </w:r>
            <w:r>
              <w:rPr>
                <w:rFonts w:hint="eastAsia" w:ascii="宋体" w:hAnsi="宋体"/>
                <w:color w:val="000000" w:themeColor="text1"/>
                <w:sz w:val="21"/>
                <w:szCs w:val="21"/>
                <w:lang w:eastAsia="zh-CN"/>
                <w14:textFill>
                  <w14:solidFill>
                    <w14:schemeClr w14:val="tx1"/>
                  </w14:solidFill>
                </w14:textFill>
              </w:rPr>
              <w:t>万用表</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线缆测试仪</w:t>
            </w:r>
            <w:r>
              <w:rPr>
                <w:rFonts w:hint="eastAsia" w:ascii="宋体" w:hAnsi="宋体"/>
                <w:color w:val="000000" w:themeColor="text1"/>
                <w:sz w:val="21"/>
                <w:szCs w:val="21"/>
                <w14:textFill>
                  <w14:solidFill>
                    <w14:schemeClr w14:val="tx1"/>
                  </w14:solidFill>
                </w14:textFill>
              </w:rPr>
              <w:t>等</w:t>
            </w:r>
            <w:r>
              <w:rPr>
                <w:rFonts w:hint="eastAsia" w:ascii="宋体" w:hAnsi="宋体" w:cs="宋体"/>
                <w:color w:val="000000" w:themeColor="text1"/>
                <w:sz w:val="21"/>
                <w:szCs w:val="21"/>
                <w:lang w:val="en-US" w:eastAsia="zh-CN"/>
                <w14:textFill>
                  <w14:solidFill>
                    <w14:schemeClr w14:val="tx1"/>
                  </w14:solidFill>
                </w14:textFill>
              </w:rPr>
              <w:t>不</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能提供有效的校准检定证书</w:t>
            </w:r>
            <w:r>
              <w:rPr>
                <w:rFonts w:hint="eastAsia" w:ascii="宋体" w:hAnsi="宋体" w:cs="Times New Roman"/>
                <w:color w:val="000000" w:themeColor="text1"/>
                <w:kern w:val="2"/>
                <w:sz w:val="21"/>
                <w:szCs w:val="21"/>
                <w:lang w:val="en-US" w:eastAsia="zh-CN" w:bidi="ar-SA"/>
                <w14:textFill>
                  <w14:solidFill>
                    <w14:schemeClr w14:val="tx1"/>
                  </w14:solidFill>
                </w14:textFill>
              </w:rPr>
              <w:t>。</w:t>
            </w:r>
          </w:p>
          <w:p>
            <w:pPr>
              <w:pStyle w:val="4"/>
              <w:pBdr>
                <w:bottom w:val="none" w:color="auto" w:sz="0" w:space="0"/>
              </w:pBdr>
              <w:tabs>
                <w:tab w:val="center" w:pos="5737"/>
                <w:tab w:val="clear" w:pos="4153"/>
              </w:tabs>
              <w:ind w:firstLine="420" w:firstLineChars="20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p>
            <w:pPr>
              <w:pStyle w:val="4"/>
              <w:pBdr>
                <w:bottom w:val="none" w:color="auto" w:sz="0" w:space="0"/>
              </w:pBdr>
              <w:tabs>
                <w:tab w:val="center" w:pos="5737"/>
                <w:tab w:val="clear" w:pos="4153"/>
              </w:tabs>
              <w:ind w:firstLine="420" w:firstLineChars="200"/>
              <w:jc w:val="left"/>
              <w:rPr>
                <w:rFonts w:ascii="宋体" w:hAnsi="宋体" w:cs="宋体"/>
                <w:color w:val="000000" w:themeColor="text1"/>
                <w:sz w:val="21"/>
                <w:szCs w:val="21"/>
                <w14:textFill>
                  <w14:solidFill>
                    <w14:schemeClr w14:val="tx1"/>
                  </w14:solidFill>
                </w14:textFill>
              </w:rPr>
            </w:pPr>
          </w:p>
          <w:p>
            <w:pPr>
              <w:pStyle w:val="4"/>
              <w:pBdr>
                <w:bottom w:val="none" w:color="auto" w:sz="0" w:space="0"/>
              </w:pBdr>
              <w:tabs>
                <w:tab w:val="center" w:pos="5737"/>
                <w:tab w:val="clear" w:pos="4153"/>
              </w:tabs>
              <w:ind w:firstLine="420" w:firstLineChars="200"/>
              <w:jc w:val="left"/>
              <w:rPr>
                <w:rFonts w:ascii="宋体" w:hAnsi="宋体" w:cs="宋体"/>
                <w:color w:val="000000" w:themeColor="text1"/>
                <w:sz w:val="21"/>
                <w:szCs w:val="21"/>
                <w14:textFill>
                  <w14:solidFill>
                    <w14:schemeClr w14:val="tx1"/>
                  </w14:solidFill>
                </w14:textFill>
              </w:rPr>
            </w:pPr>
          </w:p>
        </w:tc>
        <w:tc>
          <w:tcPr>
            <w:tcW w:w="1688" w:type="dxa"/>
          </w:tcPr>
          <w:p>
            <w:pPr>
              <w:pStyle w:val="4"/>
              <w:pBdr>
                <w:bottom w:val="none" w:color="auto" w:sz="0" w:space="0"/>
              </w:pBdr>
              <w:ind w:right="600"/>
              <w:jc w:val="left"/>
              <w:rPr>
                <w:color w:val="000000" w:themeColor="text1"/>
                <w:sz w:val="21"/>
                <w:szCs w:val="21"/>
                <w14:textFill>
                  <w14:solidFill>
                    <w14:schemeClr w14:val="tx1"/>
                  </w14:solidFill>
                </w14:textFill>
              </w:rPr>
            </w:pPr>
          </w:p>
          <w:p>
            <w:pPr>
              <w:pStyle w:val="4"/>
              <w:pBdr>
                <w:bottom w:val="none" w:color="auto" w:sz="0" w:space="0"/>
              </w:pBdr>
              <w:ind w:right="6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GB/T19001-2016</w:t>
            </w:r>
          </w:p>
          <w:p>
            <w:pPr>
              <w:pStyle w:val="4"/>
              <w:pBdr>
                <w:bottom w:val="none" w:color="auto" w:sz="0" w:space="0"/>
              </w:pBdr>
              <w:ind w:right="600"/>
              <w:jc w:val="left"/>
              <w:rPr>
                <w:color w:val="000000" w:themeColor="text1"/>
                <w:sz w:val="21"/>
                <w:szCs w:val="21"/>
                <w14:textFill>
                  <w14:solidFill>
                    <w14:schemeClr w14:val="tx1"/>
                  </w14:solidFill>
                </w14:textFill>
              </w:rPr>
            </w:pPr>
          </w:p>
          <w:p>
            <w:pPr>
              <w:pStyle w:val="4"/>
              <w:pBdr>
                <w:bottom w:val="none" w:color="auto" w:sz="0" w:space="0"/>
              </w:pBdr>
              <w:ind w:right="600"/>
              <w:jc w:val="left"/>
              <w:rPr>
                <w:color w:val="000000" w:themeColor="text1"/>
                <w:sz w:val="21"/>
                <w:szCs w:val="21"/>
                <w14:textFill>
                  <w14:solidFill>
                    <w14:schemeClr w14:val="tx1"/>
                  </w14:solidFill>
                </w14:textFill>
              </w:rPr>
            </w:pPr>
          </w:p>
          <w:p>
            <w:pPr>
              <w:pStyle w:val="4"/>
              <w:pBdr>
                <w:bottom w:val="none" w:color="auto" w:sz="0" w:space="0"/>
              </w:pBdr>
              <w:ind w:right="600"/>
              <w:jc w:val="left"/>
              <w:rPr>
                <w:color w:val="000000" w:themeColor="text1"/>
                <w:sz w:val="21"/>
                <w:szCs w:val="21"/>
                <w14:textFill>
                  <w14:solidFill>
                    <w14:schemeClr w14:val="tx1"/>
                  </w14:solidFill>
                </w14:textFill>
              </w:rPr>
            </w:pPr>
          </w:p>
          <w:p>
            <w:pPr>
              <w:pStyle w:val="4"/>
              <w:pBdr>
                <w:bottom w:val="none" w:color="auto" w:sz="0" w:space="0"/>
              </w:pBdr>
              <w:ind w:right="600"/>
              <w:jc w:val="left"/>
              <w:rPr>
                <w:color w:val="000000" w:themeColor="text1"/>
                <w:sz w:val="21"/>
                <w:szCs w:val="21"/>
                <w14:textFill>
                  <w14:solidFill>
                    <w14:schemeClr w14:val="tx1"/>
                  </w14:solidFill>
                </w14:textFill>
              </w:rPr>
            </w:pPr>
          </w:p>
          <w:p>
            <w:pPr>
              <w:pStyle w:val="4"/>
              <w:pBdr>
                <w:bottom w:val="none" w:color="auto" w:sz="0" w:space="0"/>
              </w:pBdr>
              <w:ind w:right="600"/>
              <w:jc w:val="left"/>
              <w:rPr>
                <w:color w:val="000000" w:themeColor="text1"/>
                <w:sz w:val="21"/>
                <w:szCs w:val="21"/>
                <w14:textFill>
                  <w14:solidFill>
                    <w14:schemeClr w14:val="tx1"/>
                  </w14:solidFill>
                </w14:textFill>
              </w:rPr>
            </w:pPr>
            <w:bookmarkStart w:id="18" w:name="_GoBack"/>
            <w:bookmarkEnd w:id="18"/>
          </w:p>
          <w:p>
            <w:pPr>
              <w:pStyle w:val="4"/>
              <w:pBdr>
                <w:bottom w:val="none" w:color="auto" w:sz="0" w:space="0"/>
              </w:pBdr>
              <w:ind w:right="600"/>
              <w:jc w:val="left"/>
              <w:rPr>
                <w:rFonts w:hint="default" w:eastAsia="宋体"/>
                <w:color w:val="000000" w:themeColor="text1"/>
                <w:sz w:val="21"/>
                <w:szCs w:val="21"/>
                <w:lang w:val="en-US" w:eastAsia="zh-CN"/>
                <w14:textFill>
                  <w14:solidFill>
                    <w14:schemeClr w14:val="tx1"/>
                  </w14:solidFill>
                </w14:textFill>
              </w:rPr>
            </w:pPr>
          </w:p>
        </w:tc>
        <w:tc>
          <w:tcPr>
            <w:tcW w:w="1811" w:type="dxa"/>
          </w:tcPr>
          <w:p>
            <w:pPr>
              <w:pStyle w:val="4"/>
              <w:pBdr>
                <w:bottom w:val="none" w:color="auto" w:sz="0" w:space="0"/>
              </w:pBdr>
              <w:ind w:right="60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7.1.5</w:t>
            </w:r>
          </w:p>
          <w:p>
            <w:pPr>
              <w:pStyle w:val="4"/>
              <w:pBdr>
                <w:bottom w:val="none" w:color="auto" w:sz="0" w:space="0"/>
              </w:pBdr>
              <w:ind w:right="600"/>
              <w:jc w:val="left"/>
              <w:rPr>
                <w:color w:val="000000" w:themeColor="text1"/>
                <w:sz w:val="32"/>
                <w:szCs w:val="32"/>
                <w14:textFill>
                  <w14:solidFill>
                    <w14:schemeClr w14:val="tx1"/>
                  </w14:solidFill>
                </w14:textFill>
              </w:rPr>
            </w:pPr>
          </w:p>
          <w:p>
            <w:pPr>
              <w:pStyle w:val="4"/>
              <w:pBdr>
                <w:bottom w:val="none" w:color="auto" w:sz="0" w:space="0"/>
              </w:pBdr>
              <w:ind w:right="600"/>
              <w:jc w:val="left"/>
              <w:rPr>
                <w:color w:val="000000" w:themeColor="text1"/>
                <w:sz w:val="32"/>
                <w:szCs w:val="32"/>
                <w14:textFill>
                  <w14:solidFill>
                    <w14:schemeClr w14:val="tx1"/>
                  </w14:solidFill>
                </w14:textFill>
              </w:rPr>
            </w:pPr>
          </w:p>
          <w:p>
            <w:pPr>
              <w:pStyle w:val="4"/>
              <w:pBdr>
                <w:bottom w:val="none" w:color="auto" w:sz="0" w:space="0"/>
              </w:pBdr>
              <w:ind w:right="600"/>
              <w:jc w:val="left"/>
              <w:rPr>
                <w:color w:val="000000" w:themeColor="text1"/>
                <w:sz w:val="32"/>
                <w:szCs w:val="32"/>
                <w14:textFill>
                  <w14:solidFill>
                    <w14:schemeClr w14:val="tx1"/>
                  </w14:solidFill>
                </w14:textFill>
              </w:rPr>
            </w:pPr>
          </w:p>
          <w:p>
            <w:pPr>
              <w:pStyle w:val="4"/>
              <w:pBdr>
                <w:bottom w:val="none" w:color="auto" w:sz="0" w:space="0"/>
              </w:pBdr>
              <w:ind w:right="600"/>
              <w:jc w:val="left"/>
              <w:rPr>
                <w:color w:val="000000" w:themeColor="text1"/>
                <w:sz w:val="32"/>
                <w:szCs w:val="32"/>
                <w14:textFill>
                  <w14:solidFill>
                    <w14:schemeClr w14:val="tx1"/>
                  </w14:solidFill>
                </w14:textFill>
              </w:rPr>
            </w:pPr>
          </w:p>
          <w:p>
            <w:pPr>
              <w:pStyle w:val="4"/>
              <w:pBdr>
                <w:bottom w:val="none" w:color="auto" w:sz="0" w:space="0"/>
              </w:pBdr>
              <w:ind w:right="600"/>
              <w:jc w:val="left"/>
              <w:rPr>
                <w:rFonts w:hint="default" w:eastAsia="宋体"/>
                <w:color w:val="000000" w:themeColor="text1"/>
                <w:sz w:val="32"/>
                <w:szCs w:val="3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lang w:val="en-US" w:eastAsia="zh-CN"/>
              </w:rPr>
              <w:t>11</w:t>
            </w:r>
            <w:r>
              <w:rPr>
                <w:rFonts w:hint="eastAsia"/>
                <w:b/>
                <w:color w:val="000000"/>
                <w:sz w:val="22"/>
                <w:szCs w:val="22"/>
              </w:rPr>
              <w:t xml:space="preserve">月 </w:t>
            </w:r>
            <w:r>
              <w:rPr>
                <w:rFonts w:hint="eastAsia"/>
                <w:b/>
                <w:color w:val="000000"/>
                <w:sz w:val="22"/>
                <w:szCs w:val="22"/>
                <w:lang w:val="en-US" w:eastAsia="zh-CN"/>
              </w:rPr>
              <w:t>18</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日期：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lang w:val="en-US" w:eastAsia="zh-CN"/>
              </w:rPr>
              <w:t>11</w:t>
            </w:r>
            <w:r>
              <w:rPr>
                <w:rFonts w:hint="eastAsia"/>
                <w:b/>
                <w:color w:val="000000"/>
                <w:sz w:val="22"/>
                <w:szCs w:val="22"/>
              </w:rPr>
              <w:t xml:space="preserve">月 </w:t>
            </w:r>
            <w:r>
              <w:rPr>
                <w:rFonts w:hint="eastAsia"/>
                <w:b/>
                <w:color w:val="000000"/>
                <w:sz w:val="22"/>
                <w:szCs w:val="22"/>
                <w:lang w:val="en-US" w:eastAsia="zh-CN"/>
              </w:rPr>
              <w:t>18</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□二阶段</w:t>
            </w:r>
            <w:r>
              <w:rPr>
                <w:rFonts w:hint="eastAsia"/>
                <w:b/>
                <w:color w:val="000000"/>
                <w:spacing w:val="-10"/>
                <w:szCs w:val="21"/>
              </w:rPr>
              <w:t>未</w:t>
            </w:r>
            <w:r>
              <w:rPr>
                <w:rFonts w:hint="eastAsia"/>
                <w:b/>
                <w:color w:val="000000"/>
                <w:szCs w:val="21"/>
              </w:rPr>
              <w:t>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 xml:space="preserve"> 年</w:t>
            </w:r>
            <w:r>
              <w:rPr>
                <w:b/>
                <w:color w:val="000000"/>
                <w:sz w:val="22"/>
                <w:szCs w:val="22"/>
              </w:rPr>
              <w:t xml:space="preserve">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月 </w:t>
            </w:r>
            <w:r>
              <w:rPr>
                <w:rFonts w:hint="eastAsia"/>
                <w:b/>
                <w:color w:val="000000"/>
                <w:sz w:val="22"/>
                <w:szCs w:val="22"/>
                <w:lang w:val="en-US" w:eastAsia="zh-CN"/>
              </w:rPr>
              <w:t xml:space="preserve"> </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1"/>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3"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ISC-B-I-14 一阶段审核报告(03版)</w:t>
                          </w:r>
                        </w:p>
                      </w:txbxContent>
                    </wps:txbx>
                    <wps:bodyPr upright="1"/>
                  </wps:wsp>
                </a:graphicData>
              </a:graphic>
            </wp:anchor>
          </w:drawing>
        </mc:Choice>
        <mc:Fallback>
          <w:pict>
            <v:shape id="文本框 1" o:spid="_x0000_s1026" o:spt="202" type="#_x0000_t202" style="position:absolute;left:0pt;margin-left:345.5pt;margin-top:2.2pt;height:20.2pt;width:156.25pt;z-index:251658240;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9&#10;V+PM1gAAAAkBAAAPAAAAAAAAAAEAIAAAACIAAABkcnMvZG93bnJldi54bWxQSwECFAAUAAAACACH&#10;TuJAf7cy9bQBAABAAwAADgAAAAAAAAABACAAAAAlAQAAZHJzL2Uyb0RvYy54bWxQSwUGAAAAAAYA&#10;BgBZAQAASwUAAAAA&#10;">
              <v:fill on="t" focussize="0,0"/>
              <v:stroke on="f"/>
              <v:imagedata o:title=""/>
              <o:lock v:ext="edit" aspectratio="f"/>
              <v:textbox>
                <w:txbxContent>
                  <w:p>
                    <w:r>
                      <w:rPr>
                        <w:rFonts w:hint="eastAsia"/>
                        <w:sz w:val="18"/>
                        <w:szCs w:val="18"/>
                      </w:rPr>
                      <w:t>ISC-B-I-14 一阶段审核报告(03版)</w:t>
                    </w:r>
                  </w:p>
                </w:txbxContent>
              </v:textbox>
            </v:shape>
          </w:pict>
        </mc:Fallback>
      </mc:AlternateConten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766A3"/>
    <w:multiLevelType w:val="singleLevel"/>
    <w:tmpl w:val="861766A3"/>
    <w:lvl w:ilvl="0" w:tentative="0">
      <w:start w:val="1"/>
      <w:numFmt w:val="chineseCounting"/>
      <w:suff w:val="nothing"/>
      <w:lvlText w:val="%1、"/>
      <w:lvlJc w:val="left"/>
      <w:rPr>
        <w:rFonts w:hint="eastAsia"/>
      </w:rPr>
    </w:lvl>
  </w:abstractNum>
  <w:abstractNum w:abstractNumId="1">
    <w:nsid w:val="63935EF9"/>
    <w:multiLevelType w:val="singleLevel"/>
    <w:tmpl w:val="63935EF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A33E3"/>
    <w:rsid w:val="00CC5C6F"/>
    <w:rsid w:val="00CC7F51"/>
    <w:rsid w:val="00CF7756"/>
    <w:rsid w:val="00D1718E"/>
    <w:rsid w:val="00DA615B"/>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6C65CC"/>
    <w:rsid w:val="03A83FA1"/>
    <w:rsid w:val="073E53EB"/>
    <w:rsid w:val="08A769EB"/>
    <w:rsid w:val="0B1F24B2"/>
    <w:rsid w:val="0C8275B4"/>
    <w:rsid w:val="0D26506B"/>
    <w:rsid w:val="0F256DF2"/>
    <w:rsid w:val="0F6755B5"/>
    <w:rsid w:val="107D19A6"/>
    <w:rsid w:val="11FF7655"/>
    <w:rsid w:val="13905027"/>
    <w:rsid w:val="18241DD6"/>
    <w:rsid w:val="1B7C5D4F"/>
    <w:rsid w:val="1CB91E8D"/>
    <w:rsid w:val="1E9E0F00"/>
    <w:rsid w:val="21912F89"/>
    <w:rsid w:val="24CE6858"/>
    <w:rsid w:val="2AF40DDA"/>
    <w:rsid w:val="2AF555A2"/>
    <w:rsid w:val="2B383B52"/>
    <w:rsid w:val="37AF4BEA"/>
    <w:rsid w:val="38412413"/>
    <w:rsid w:val="3C335731"/>
    <w:rsid w:val="3D333694"/>
    <w:rsid w:val="3E3C0540"/>
    <w:rsid w:val="3F2266C8"/>
    <w:rsid w:val="40737706"/>
    <w:rsid w:val="40C02CBF"/>
    <w:rsid w:val="41CA360A"/>
    <w:rsid w:val="42317FF1"/>
    <w:rsid w:val="44153258"/>
    <w:rsid w:val="46F219BF"/>
    <w:rsid w:val="49916B26"/>
    <w:rsid w:val="4AC10456"/>
    <w:rsid w:val="4B62393F"/>
    <w:rsid w:val="4CC82F1C"/>
    <w:rsid w:val="4DC951D7"/>
    <w:rsid w:val="4E7F1263"/>
    <w:rsid w:val="4F163653"/>
    <w:rsid w:val="533A3EED"/>
    <w:rsid w:val="53535CF4"/>
    <w:rsid w:val="5C1C5C3E"/>
    <w:rsid w:val="5CC237FA"/>
    <w:rsid w:val="5D7A00A7"/>
    <w:rsid w:val="5DEE6D1B"/>
    <w:rsid w:val="5F8D3C9B"/>
    <w:rsid w:val="5FE6444C"/>
    <w:rsid w:val="62D57D8A"/>
    <w:rsid w:val="62D838CB"/>
    <w:rsid w:val="640B1E0C"/>
    <w:rsid w:val="647F5BA5"/>
    <w:rsid w:val="656206D1"/>
    <w:rsid w:val="667978D5"/>
    <w:rsid w:val="6AF45348"/>
    <w:rsid w:val="6BBB1423"/>
    <w:rsid w:val="6BF216D2"/>
    <w:rsid w:val="6C3949E6"/>
    <w:rsid w:val="6C4E4063"/>
    <w:rsid w:val="6C8B60DE"/>
    <w:rsid w:val="6CB121D3"/>
    <w:rsid w:val="701F7C21"/>
    <w:rsid w:val="7165663F"/>
    <w:rsid w:val="73F04CA8"/>
    <w:rsid w:val="749F3376"/>
    <w:rsid w:val="74E06A6A"/>
    <w:rsid w:val="76530D66"/>
    <w:rsid w:val="768934B1"/>
    <w:rsid w:val="79DA1997"/>
    <w:rsid w:val="7B48571D"/>
    <w:rsid w:val="7B756E70"/>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1">
    <w:name w:val="页脚 Char"/>
    <w:basedOn w:val="8"/>
    <w:link w:val="3"/>
    <w:qFormat/>
    <w:locked/>
    <w:uiPriority w:val="99"/>
    <w:rPr>
      <w:rFonts w:ascii="Times New Roman" w:hAnsi="Times New Roman" w:eastAsia="宋体" w:cs="Times New Roman"/>
      <w:sz w:val="18"/>
      <w:szCs w:val="18"/>
    </w:rPr>
  </w:style>
  <w:style w:type="character" w:customStyle="1" w:styleId="12">
    <w:name w:val="页眉 Char"/>
    <w:basedOn w:val="8"/>
    <w:link w:val="4"/>
    <w:qFormat/>
    <w:locked/>
    <w:uiPriority w:val="99"/>
    <w:rPr>
      <w:rFonts w:ascii="Calibri" w:hAnsi="Calibri" w:eastAsia="宋体" w:cs="Times New Roman"/>
      <w:sz w:val="18"/>
      <w:szCs w:val="18"/>
    </w:rPr>
  </w:style>
  <w:style w:type="character" w:customStyle="1" w:styleId="13">
    <w:name w:val="副标题 Char"/>
    <w:basedOn w:val="8"/>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1222</Words>
  <Characters>6969</Characters>
  <Lines>58</Lines>
  <Paragraphs>16</Paragraphs>
  <TotalTime>1</TotalTime>
  <ScaleCrop>false</ScaleCrop>
  <LinksUpToDate>false</LinksUpToDate>
  <CharactersWithSpaces>8175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2019-11-20T03:13:30Z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