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宜春钽铌矿有限公司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rPr>
        <w:t>0177-2020-2021</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0177-2020-2021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宜春钽铌矿有限公司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郭文萍</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ISC-2020-0805</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2025-09-29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一</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2021年09月08日 上午</w:t>
            </w:r>
            <w:bookmarkEnd w:id="9"/>
            <w:r>
              <w:rPr>
                <w:color w:val="000000"/>
                <w:szCs w:val="21"/>
              </w:rPr>
              <w:t>至2021年09月09日 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ascii="宋体" w:hAnsi="宋体"/>
                <w:color w:val="000000"/>
                <w:szCs w:val="21"/>
                <w:shd w:val="pct10" w:color="auto" w:fill="FFFFFF"/>
              </w:rPr>
            </w:pPr>
            <w:r>
              <w:rPr>
                <w:rFonts w:ascii="宋体" w:hAnsi="宋体"/>
                <w:szCs w:val="21"/>
              </w:rPr>
              <w:t>郭小红</w:t>
            </w:r>
            <w:r>
              <w:rPr>
                <w:rFonts w:ascii="宋体" w:hAnsi="宋体"/>
                <w:color w:val="000000"/>
                <w:szCs w:val="21"/>
                <w:shd w:val="pct10" w:color="auto" w:fill="FFFFFF"/>
              </w:rPr>
              <w:t>2019-M1MMS-1274774</w:t>
            </w:r>
          </w:p>
          <w:p>
            <w:pPr>
              <w:tabs>
                <w:tab w:val="left" w:pos="880"/>
              </w:tabs>
              <w:autoSpaceDE w:val="0"/>
              <w:autoSpaceDN w:val="0"/>
              <w:adjustRightInd w:val="0"/>
              <w:spacing w:before="35" w:line="276" w:lineRule="auto"/>
              <w:ind w:right="161"/>
              <w:rPr>
                <w:rFonts w:ascii="宋体" w:hAnsi="宋体"/>
                <w:color w:val="000000"/>
                <w:szCs w:val="21"/>
                <w:shd w:val="pct10" w:color="auto" w:fill="FFFFFF"/>
              </w:rPr>
            </w:pPr>
            <w:r>
              <w:rPr>
                <w:rFonts w:ascii="宋体" w:hAnsi="宋体"/>
                <w:szCs w:val="21"/>
              </w:rPr>
              <w:t>周彤</w:t>
            </w:r>
            <w:r>
              <w:rPr>
                <w:rFonts w:ascii="宋体" w:hAnsi="宋体"/>
                <w:color w:val="000000"/>
                <w:szCs w:val="21"/>
                <w:shd w:val="pct10" w:color="auto" w:fill="FFFFFF"/>
              </w:rPr>
              <w:t>2019-M1MMS-1274792</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r>
              <w:rPr>
                <w:rFonts w:hint="eastAsia"/>
                <w:color w:val="auto"/>
                <w:sz w:val="18"/>
                <w:szCs w:val="18"/>
                <w:lang w:val="en-US" w:eastAsia="zh-CN"/>
              </w:rPr>
              <w:t>生产技术部、坪石选矿厂 、采矿场、钟家市选矿厂、安全环保部、人力企管部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rPr>
          <w:b w:val="0"/>
          <w:bCs/>
          <w:color w:val="auto"/>
          <w:kern w:val="0"/>
        </w:rPr>
      </w:pPr>
      <w:r>
        <w:rPr>
          <w:rFonts w:hint="eastAsia" w:ascii="宋体" w:hAnsi="宋体" w:cs="宋体"/>
          <w:b w:val="0"/>
          <w:bCs/>
          <w:color w:val="auto"/>
          <w:kern w:val="0"/>
          <w:szCs w:val="21"/>
        </w:rPr>
        <w:t>20</w:t>
      </w:r>
      <w:r>
        <w:rPr>
          <w:rFonts w:hint="eastAsia" w:ascii="宋体" w:hAnsi="宋体" w:cs="宋体"/>
          <w:b w:val="0"/>
          <w:bCs/>
          <w:color w:val="auto"/>
          <w:kern w:val="0"/>
          <w:szCs w:val="21"/>
          <w:lang w:val="en-US" w:eastAsia="zh-CN"/>
        </w:rPr>
        <w:t>20</w:t>
      </w:r>
      <w:r>
        <w:rPr>
          <w:rFonts w:hint="eastAsia" w:ascii="宋体" w:hAnsi="宋体" w:cs="宋体"/>
          <w:b w:val="0"/>
          <w:bCs/>
          <w:color w:val="auto"/>
          <w:kern w:val="0"/>
          <w:szCs w:val="21"/>
        </w:rPr>
        <w:t>年</w:t>
      </w:r>
      <w:r>
        <w:rPr>
          <w:rFonts w:hint="eastAsia" w:ascii="宋体" w:hAnsi="宋体" w:cs="宋体"/>
          <w:b w:val="0"/>
          <w:bCs/>
          <w:color w:val="auto"/>
          <w:kern w:val="0"/>
          <w:szCs w:val="21"/>
          <w:lang w:val="en-US" w:eastAsia="zh-CN"/>
        </w:rPr>
        <w:t>9</w:t>
      </w:r>
      <w:r>
        <w:rPr>
          <w:rFonts w:hint="eastAsia" w:ascii="宋体" w:hAnsi="宋体" w:cs="宋体"/>
          <w:b w:val="0"/>
          <w:bCs/>
          <w:color w:val="auto"/>
          <w:kern w:val="0"/>
          <w:szCs w:val="21"/>
        </w:rPr>
        <w:t>月至今，公司日常运行中生产经营平稳，企业未有违反法律、法规问题和产品质量问题的投诉或重大质量事故发生。企业营业执照等资质未发生变化。</w:t>
      </w:r>
    </w:p>
    <w:p>
      <w:pPr>
        <w:widowControl/>
        <w:spacing w:line="276" w:lineRule="auto"/>
        <w:rPr>
          <w:rFonts w:cs="宋体" w:asciiTheme="minorEastAsia" w:hAnsiTheme="minorEastAsia"/>
          <w:b w:val="0"/>
          <w:bCs/>
          <w:color w:val="auto"/>
          <w:kern w:val="0"/>
          <w:szCs w:val="21"/>
        </w:rPr>
      </w:pPr>
      <w:r>
        <w:rPr>
          <w:rFonts w:hint="eastAsia" w:ascii="宋体" w:hAnsi="宋体" w:cs="宋体"/>
          <w:b w:val="0"/>
          <w:bCs/>
          <w:color w:val="auto"/>
          <w:kern w:val="0"/>
          <w:szCs w:val="21"/>
        </w:rPr>
        <w:t>2.</w:t>
      </w:r>
      <w:r>
        <w:rPr>
          <w:rFonts w:hint="eastAsia" w:asciiTheme="minorEastAsia" w:hAnsiTheme="minorEastAsia"/>
          <w:b w:val="0"/>
          <w:bCs/>
          <w:color w:val="auto"/>
          <w:szCs w:val="21"/>
        </w:rPr>
        <w:t>内部审核和管理评审</w:t>
      </w:r>
      <w:r>
        <w:rPr>
          <w:rFonts w:cs="宋体" w:asciiTheme="minorEastAsia" w:hAnsiTheme="minorEastAsia"/>
          <w:b w:val="0"/>
          <w:bCs/>
          <w:color w:val="auto"/>
          <w:kern w:val="0"/>
          <w:szCs w:val="21"/>
        </w:rPr>
        <w:t>的情况：</w:t>
      </w:r>
    </w:p>
    <w:p>
      <w:pPr>
        <w:rPr>
          <w:rFonts w:ascii="宋体" w:hAnsi="宋体"/>
          <w:b w:val="0"/>
          <w:bCs/>
          <w:color w:val="auto"/>
          <w:szCs w:val="21"/>
        </w:rPr>
      </w:pPr>
      <w:r>
        <w:rPr>
          <w:rStyle w:val="9"/>
          <w:rFonts w:hint="eastAsia" w:ascii="宋体" w:eastAsia="宋体"/>
          <w:b w:val="0"/>
          <w:bCs/>
          <w:color w:val="auto"/>
          <w:sz w:val="21"/>
          <w:szCs w:val="21"/>
        </w:rPr>
        <w:t>2.1内审情况：</w:t>
      </w:r>
      <w:r>
        <w:rPr>
          <w:rFonts w:hint="eastAsia" w:ascii="宋体" w:hAnsi="宋体"/>
          <w:b w:val="0"/>
          <w:bCs/>
          <w:color w:val="auto"/>
          <w:szCs w:val="21"/>
        </w:rPr>
        <w:t>公司于202</w:t>
      </w:r>
      <w:r>
        <w:rPr>
          <w:rFonts w:hint="eastAsia" w:ascii="宋体" w:hAnsi="宋体"/>
          <w:b w:val="0"/>
          <w:bCs/>
          <w:color w:val="auto"/>
          <w:szCs w:val="21"/>
          <w:lang w:val="en-US" w:eastAsia="zh-CN"/>
        </w:rPr>
        <w:t>1</w:t>
      </w:r>
      <w:r>
        <w:rPr>
          <w:rFonts w:hint="eastAsia" w:ascii="宋体" w:hAnsi="宋体"/>
          <w:b w:val="0"/>
          <w:bCs/>
          <w:color w:val="auto"/>
          <w:szCs w:val="21"/>
        </w:rPr>
        <w:t>年</w:t>
      </w:r>
      <w:r>
        <w:rPr>
          <w:rFonts w:hint="eastAsia" w:ascii="宋体" w:hAnsi="宋体"/>
          <w:b w:val="0"/>
          <w:bCs/>
          <w:color w:val="auto"/>
          <w:szCs w:val="21"/>
          <w:lang w:val="en-US" w:eastAsia="zh-CN"/>
        </w:rPr>
        <w:t>8</w:t>
      </w:r>
      <w:r>
        <w:rPr>
          <w:rFonts w:hint="eastAsia" w:ascii="宋体" w:hAnsi="宋体"/>
          <w:b w:val="0"/>
          <w:bCs/>
          <w:color w:val="auto"/>
          <w:szCs w:val="21"/>
        </w:rPr>
        <w:t>月</w:t>
      </w:r>
      <w:r>
        <w:rPr>
          <w:rFonts w:hint="eastAsia" w:ascii="宋体" w:hAnsi="宋体"/>
          <w:b w:val="0"/>
          <w:bCs/>
          <w:color w:val="auto"/>
          <w:szCs w:val="21"/>
          <w:lang w:val="en-US" w:eastAsia="zh-CN"/>
        </w:rPr>
        <w:t>17</w:t>
      </w:r>
      <w:r>
        <w:rPr>
          <w:rFonts w:hint="eastAsia" w:ascii="宋体" w:hAnsi="宋体"/>
          <w:b w:val="0"/>
          <w:bCs/>
          <w:color w:val="auto"/>
          <w:szCs w:val="21"/>
        </w:rPr>
        <w:t>-</w:t>
      </w:r>
      <w:r>
        <w:rPr>
          <w:rFonts w:hint="eastAsia" w:ascii="宋体" w:hAnsi="宋体"/>
          <w:b w:val="0"/>
          <w:bCs/>
          <w:color w:val="auto"/>
          <w:szCs w:val="21"/>
          <w:lang w:val="en-US" w:eastAsia="zh-CN"/>
        </w:rPr>
        <w:t>8</w:t>
      </w:r>
      <w:r>
        <w:rPr>
          <w:rFonts w:hint="eastAsia" w:ascii="宋体" w:hAnsi="宋体"/>
          <w:b w:val="0"/>
          <w:bCs/>
          <w:color w:val="auto"/>
          <w:szCs w:val="21"/>
        </w:rPr>
        <w:t>月</w:t>
      </w:r>
      <w:r>
        <w:rPr>
          <w:rFonts w:hint="eastAsia" w:ascii="宋体" w:hAnsi="宋体"/>
          <w:b w:val="0"/>
          <w:bCs/>
          <w:color w:val="auto"/>
          <w:szCs w:val="21"/>
          <w:lang w:val="en-US" w:eastAsia="zh-CN"/>
        </w:rPr>
        <w:t>19</w:t>
      </w:r>
      <w:r>
        <w:rPr>
          <w:rFonts w:hint="eastAsia" w:ascii="宋体" w:hAnsi="宋体"/>
          <w:b w:val="0"/>
          <w:bCs/>
          <w:color w:val="auto"/>
          <w:szCs w:val="21"/>
        </w:rPr>
        <w:t>日组织了公司</w:t>
      </w:r>
      <w:r>
        <w:rPr>
          <w:rFonts w:hint="eastAsia" w:ascii="宋体" w:hAnsi="宋体"/>
          <w:b w:val="0"/>
          <w:bCs/>
          <w:color w:val="auto"/>
          <w:szCs w:val="21"/>
          <w:lang w:val="en-US" w:eastAsia="zh-CN"/>
        </w:rPr>
        <w:t>4</w:t>
      </w:r>
      <w:r>
        <w:rPr>
          <w:rFonts w:ascii="宋体" w:hAnsi="宋体"/>
          <w:b w:val="0"/>
          <w:bCs/>
          <w:color w:val="auto"/>
          <w:szCs w:val="21"/>
        </w:rPr>
        <w:t>体系</w:t>
      </w:r>
      <w:r>
        <w:rPr>
          <w:rFonts w:hint="eastAsia" w:ascii="宋体" w:hAnsi="宋体"/>
          <w:b w:val="0"/>
          <w:bCs/>
          <w:color w:val="auto"/>
          <w:szCs w:val="21"/>
          <w:lang w:val="en-US" w:eastAsia="zh-CN"/>
        </w:rPr>
        <w:t>审核</w:t>
      </w:r>
      <w:r>
        <w:rPr>
          <w:rFonts w:ascii="宋体" w:hAnsi="宋体"/>
          <w:b w:val="0"/>
          <w:bCs/>
          <w:color w:val="auto"/>
          <w:szCs w:val="21"/>
        </w:rPr>
        <w:t>，</w:t>
      </w:r>
      <w:r>
        <w:rPr>
          <w:rFonts w:hint="eastAsia" w:ascii="宋体" w:hAnsi="宋体"/>
          <w:b w:val="0"/>
          <w:bCs/>
          <w:color w:val="auto"/>
          <w:szCs w:val="21"/>
        </w:rPr>
        <w:t>内审分</w:t>
      </w:r>
      <w:r>
        <w:rPr>
          <w:rFonts w:hint="eastAsia" w:ascii="宋体" w:hAnsi="宋体"/>
          <w:b w:val="0"/>
          <w:bCs/>
          <w:color w:val="auto"/>
          <w:szCs w:val="21"/>
          <w:lang w:val="en-US" w:eastAsia="zh-CN"/>
        </w:rPr>
        <w:t>4</w:t>
      </w:r>
      <w:r>
        <w:rPr>
          <w:rFonts w:hint="eastAsia" w:ascii="宋体" w:hAnsi="宋体"/>
          <w:b w:val="0"/>
          <w:bCs/>
          <w:color w:val="auto"/>
          <w:szCs w:val="21"/>
        </w:rPr>
        <w:t>个组，对公司</w:t>
      </w:r>
      <w:r>
        <w:rPr>
          <w:rFonts w:hint="eastAsia" w:ascii="宋体" w:hAnsi="宋体"/>
          <w:b w:val="0"/>
          <w:bCs/>
          <w:color w:val="auto"/>
          <w:szCs w:val="21"/>
          <w:lang w:val="en-US" w:eastAsia="zh-CN"/>
        </w:rPr>
        <w:t>15</w:t>
      </w:r>
      <w:r>
        <w:rPr>
          <w:rFonts w:hint="eastAsia" w:ascii="宋体" w:hAnsi="宋体"/>
          <w:b w:val="0"/>
          <w:bCs/>
          <w:color w:val="auto"/>
          <w:szCs w:val="21"/>
        </w:rPr>
        <w:t>个部门进行了全要素的审核，</w:t>
      </w:r>
      <w:r>
        <w:rPr>
          <w:rFonts w:hint="eastAsia" w:ascii="宋体" w:hAnsi="宋体"/>
          <w:b w:val="0"/>
          <w:bCs/>
          <w:color w:val="auto"/>
          <w:szCs w:val="21"/>
          <w:lang w:val="en-US" w:eastAsia="zh-CN"/>
        </w:rPr>
        <w:t>测量管理体系</w:t>
      </w:r>
      <w:r>
        <w:rPr>
          <w:rFonts w:ascii="宋体" w:hAnsi="宋体"/>
          <w:b w:val="0"/>
          <w:bCs/>
          <w:color w:val="auto"/>
          <w:szCs w:val="21"/>
        </w:rPr>
        <w:t>共开出了</w:t>
      </w:r>
      <w:r>
        <w:rPr>
          <w:rFonts w:hint="eastAsia" w:ascii="宋体" w:hAnsi="宋体"/>
          <w:b w:val="0"/>
          <w:bCs/>
          <w:color w:val="auto"/>
          <w:szCs w:val="21"/>
          <w:lang w:val="en-US" w:eastAsia="zh-CN"/>
        </w:rPr>
        <w:t>2</w:t>
      </w:r>
      <w:r>
        <w:rPr>
          <w:rFonts w:hint="eastAsia" w:ascii="宋体" w:hAnsi="宋体"/>
          <w:b w:val="0"/>
          <w:bCs/>
          <w:color w:val="auto"/>
          <w:szCs w:val="21"/>
        </w:rPr>
        <w:t>不</w:t>
      </w:r>
      <w:r>
        <w:rPr>
          <w:rFonts w:ascii="宋体" w:hAnsi="宋体"/>
          <w:b w:val="0"/>
          <w:bCs/>
          <w:color w:val="auto"/>
          <w:szCs w:val="21"/>
        </w:rPr>
        <w:t>符合项</w:t>
      </w:r>
      <w:r>
        <w:rPr>
          <w:rFonts w:hint="eastAsia" w:ascii="宋体" w:hAnsi="宋体"/>
          <w:b w:val="0"/>
          <w:bCs/>
          <w:color w:val="auto"/>
          <w:szCs w:val="21"/>
        </w:rPr>
        <w:t>，于</w:t>
      </w:r>
      <w:r>
        <w:rPr>
          <w:rFonts w:hint="eastAsia" w:ascii="宋体" w:hAnsi="宋体"/>
          <w:b w:val="0"/>
          <w:bCs/>
          <w:color w:val="auto"/>
          <w:szCs w:val="21"/>
          <w:lang w:val="en-US" w:eastAsia="zh-CN"/>
        </w:rPr>
        <w:t>8</w:t>
      </w:r>
      <w:r>
        <w:rPr>
          <w:rFonts w:hint="eastAsia" w:ascii="宋体" w:hAnsi="宋体"/>
          <w:b w:val="0"/>
          <w:bCs/>
          <w:color w:val="auto"/>
          <w:szCs w:val="21"/>
        </w:rPr>
        <w:t>月</w:t>
      </w:r>
      <w:r>
        <w:rPr>
          <w:rFonts w:hint="eastAsia" w:ascii="宋体" w:hAnsi="宋体"/>
          <w:b w:val="0"/>
          <w:bCs/>
          <w:color w:val="auto"/>
          <w:szCs w:val="21"/>
          <w:lang w:val="en-US" w:eastAsia="zh-CN"/>
        </w:rPr>
        <w:t>25</w:t>
      </w:r>
      <w:r>
        <w:rPr>
          <w:rFonts w:hint="eastAsia" w:ascii="宋体" w:hAnsi="宋体"/>
          <w:b w:val="0"/>
          <w:bCs/>
          <w:color w:val="auto"/>
          <w:szCs w:val="21"/>
        </w:rPr>
        <w:t>日完成整改。</w:t>
      </w:r>
    </w:p>
    <w:p>
      <w:pPr>
        <w:spacing w:line="276" w:lineRule="auto"/>
        <w:rPr>
          <w:rStyle w:val="9"/>
          <w:rFonts w:ascii="宋体" w:eastAsia="宋体"/>
          <w:b w:val="0"/>
          <w:bCs/>
          <w:color w:val="auto"/>
          <w:sz w:val="21"/>
          <w:szCs w:val="21"/>
        </w:rPr>
      </w:pPr>
    </w:p>
    <w:p>
      <w:pPr>
        <w:spacing w:line="276" w:lineRule="auto"/>
        <w:rPr>
          <w:b w:val="0"/>
          <w:bCs/>
          <w:color w:val="auto"/>
          <w:szCs w:val="21"/>
        </w:rPr>
      </w:pPr>
      <w:r>
        <w:rPr>
          <w:rStyle w:val="9"/>
          <w:rFonts w:hint="eastAsia" w:ascii="宋体" w:eastAsia="宋体"/>
          <w:b w:val="0"/>
          <w:bCs/>
          <w:color w:val="auto"/>
          <w:sz w:val="21"/>
          <w:szCs w:val="21"/>
        </w:rPr>
        <w:t>2.2管理评审情况：企</w:t>
      </w:r>
      <w:r>
        <w:rPr>
          <w:rFonts w:hint="eastAsia"/>
          <w:b w:val="0"/>
          <w:bCs/>
          <w:color w:val="auto"/>
          <w:szCs w:val="21"/>
        </w:rPr>
        <w:t>业于20</w:t>
      </w:r>
      <w:r>
        <w:rPr>
          <w:rFonts w:hint="eastAsia"/>
          <w:b w:val="0"/>
          <w:bCs/>
          <w:color w:val="auto"/>
          <w:szCs w:val="21"/>
          <w:lang w:val="en-US" w:eastAsia="zh-CN"/>
        </w:rPr>
        <w:t>21</w:t>
      </w:r>
      <w:r>
        <w:rPr>
          <w:rFonts w:hint="eastAsia"/>
          <w:b w:val="0"/>
          <w:bCs/>
          <w:color w:val="auto"/>
          <w:szCs w:val="21"/>
        </w:rPr>
        <w:t>年</w:t>
      </w:r>
      <w:r>
        <w:rPr>
          <w:rFonts w:hint="eastAsia"/>
          <w:b w:val="0"/>
          <w:bCs/>
          <w:color w:val="auto"/>
          <w:szCs w:val="21"/>
          <w:lang w:val="en-US" w:eastAsia="zh-CN"/>
        </w:rPr>
        <w:t>8</w:t>
      </w:r>
      <w:r>
        <w:rPr>
          <w:rFonts w:hint="eastAsia"/>
          <w:b w:val="0"/>
          <w:bCs/>
          <w:color w:val="auto"/>
          <w:szCs w:val="21"/>
        </w:rPr>
        <w:t>月</w:t>
      </w:r>
      <w:r>
        <w:rPr>
          <w:rFonts w:hint="eastAsia"/>
          <w:b w:val="0"/>
          <w:bCs/>
          <w:color w:val="auto"/>
          <w:szCs w:val="21"/>
          <w:lang w:val="en-US" w:eastAsia="zh-CN"/>
        </w:rPr>
        <w:t>26</w:t>
      </w:r>
      <w:r>
        <w:rPr>
          <w:rFonts w:hint="eastAsia"/>
          <w:b w:val="0"/>
          <w:bCs/>
          <w:color w:val="auto"/>
          <w:szCs w:val="21"/>
        </w:rPr>
        <w:t>日</w:t>
      </w:r>
      <w:r>
        <w:rPr>
          <w:b w:val="0"/>
          <w:bCs/>
          <w:color w:val="auto"/>
          <w:szCs w:val="21"/>
        </w:rPr>
        <w:t>开展</w:t>
      </w:r>
      <w:r>
        <w:rPr>
          <w:rFonts w:hint="eastAsia"/>
          <w:b w:val="0"/>
          <w:bCs/>
          <w:color w:val="auto"/>
          <w:szCs w:val="21"/>
        </w:rPr>
        <w:t>了</w:t>
      </w:r>
      <w:r>
        <w:rPr>
          <w:rFonts w:hint="eastAsia"/>
          <w:b w:val="0"/>
          <w:bCs/>
          <w:color w:val="auto"/>
          <w:szCs w:val="21"/>
          <w:lang w:val="en-US" w:eastAsia="zh-CN"/>
        </w:rPr>
        <w:t>一体化</w:t>
      </w:r>
      <w:r>
        <w:rPr>
          <w:rFonts w:hint="eastAsia"/>
          <w:b w:val="0"/>
          <w:bCs/>
          <w:color w:val="auto"/>
          <w:szCs w:val="21"/>
        </w:rPr>
        <w:t>管理评审，会议</w:t>
      </w:r>
      <w:r>
        <w:rPr>
          <w:b w:val="0"/>
          <w:bCs/>
          <w:color w:val="auto"/>
          <w:szCs w:val="21"/>
        </w:rPr>
        <w:t>由</w:t>
      </w:r>
      <w:r>
        <w:rPr>
          <w:rFonts w:hint="eastAsia"/>
          <w:b w:val="0"/>
          <w:bCs/>
          <w:color w:val="auto"/>
          <w:szCs w:val="21"/>
        </w:rPr>
        <w:t>公司总经理</w:t>
      </w:r>
      <w:r>
        <w:rPr>
          <w:rFonts w:hint="eastAsia"/>
          <w:b w:val="0"/>
          <w:bCs/>
          <w:color w:val="auto"/>
          <w:szCs w:val="21"/>
          <w:lang w:val="en-US" w:eastAsia="zh-CN"/>
        </w:rPr>
        <w:t>涂春根</w:t>
      </w:r>
      <w:r>
        <w:rPr>
          <w:rFonts w:hint="eastAsia"/>
          <w:b w:val="0"/>
          <w:bCs/>
          <w:color w:val="auto"/>
          <w:szCs w:val="21"/>
        </w:rPr>
        <w:t>主持，由</w:t>
      </w:r>
      <w:r>
        <w:rPr>
          <w:b w:val="0"/>
          <w:bCs/>
          <w:color w:val="auto"/>
          <w:szCs w:val="21"/>
        </w:rPr>
        <w:t>管理者代表</w:t>
      </w:r>
      <w:r>
        <w:rPr>
          <w:rFonts w:hint="eastAsia" w:ascii="宋体" w:hAnsi="宋体" w:cs="宋体"/>
          <w:b w:val="0"/>
          <w:bCs/>
          <w:color w:val="auto"/>
          <w:kern w:val="0"/>
          <w:szCs w:val="21"/>
          <w:lang w:val="en-US" w:eastAsia="zh-CN"/>
        </w:rPr>
        <w:t>陈清</w:t>
      </w:r>
      <w:r>
        <w:rPr>
          <w:b w:val="0"/>
          <w:bCs/>
          <w:color w:val="auto"/>
          <w:szCs w:val="21"/>
        </w:rPr>
        <w:t>汇报了体系运行情况。</w:t>
      </w:r>
      <w:r>
        <w:rPr>
          <w:rFonts w:hint="eastAsia"/>
          <w:b w:val="0"/>
          <w:bCs/>
          <w:color w:val="auto"/>
          <w:szCs w:val="21"/>
        </w:rPr>
        <w:t>会议肯定</w:t>
      </w:r>
      <w:r>
        <w:rPr>
          <w:b w:val="0"/>
          <w:bCs/>
          <w:color w:val="auto"/>
          <w:szCs w:val="21"/>
        </w:rPr>
        <w:t>了公司测量管理体系的充分</w:t>
      </w:r>
      <w:r>
        <w:rPr>
          <w:rFonts w:hint="eastAsia"/>
          <w:b w:val="0"/>
          <w:bCs/>
          <w:color w:val="auto"/>
          <w:szCs w:val="21"/>
        </w:rPr>
        <w:t>性</w:t>
      </w:r>
      <w:r>
        <w:rPr>
          <w:b w:val="0"/>
          <w:bCs/>
          <w:color w:val="auto"/>
          <w:szCs w:val="21"/>
        </w:rPr>
        <w:t>、有效性和适宜性</w:t>
      </w:r>
      <w:r>
        <w:rPr>
          <w:rFonts w:hint="eastAsia"/>
          <w:b w:val="0"/>
          <w:bCs/>
          <w:color w:val="auto"/>
          <w:szCs w:val="21"/>
        </w:rPr>
        <w:t>。形成</w:t>
      </w:r>
      <w:r>
        <w:rPr>
          <w:b w:val="0"/>
          <w:bCs/>
          <w:color w:val="auto"/>
          <w:szCs w:val="21"/>
        </w:rPr>
        <w:t>了管理评审报告</w:t>
      </w:r>
      <w:r>
        <w:rPr>
          <w:rFonts w:hint="eastAsia"/>
          <w:b w:val="0"/>
          <w:bCs/>
          <w:color w:val="auto"/>
          <w:szCs w:val="21"/>
        </w:rPr>
        <w:t>，对公司测量管理体系目前存在的</w:t>
      </w:r>
      <w:r>
        <w:rPr>
          <w:rFonts w:hint="eastAsia"/>
          <w:b w:val="0"/>
          <w:bCs/>
          <w:color w:val="auto"/>
          <w:szCs w:val="21"/>
          <w:lang w:val="en-US" w:eastAsia="zh-CN"/>
        </w:rPr>
        <w:t>1</w:t>
      </w:r>
      <w:r>
        <w:rPr>
          <w:rFonts w:hint="eastAsia"/>
          <w:b w:val="0"/>
          <w:bCs/>
          <w:color w:val="auto"/>
          <w:szCs w:val="21"/>
        </w:rPr>
        <w:t>个方面的问题落实了整改部门。</w:t>
      </w:r>
    </w:p>
    <w:p>
      <w:pPr>
        <w:spacing w:line="276" w:lineRule="auto"/>
        <w:rPr>
          <w:rStyle w:val="9"/>
          <w:rFonts w:ascii="宋体" w:eastAsia="宋体"/>
          <w:b w:val="0"/>
          <w:bCs/>
          <w:color w:val="auto"/>
          <w:sz w:val="21"/>
          <w:szCs w:val="21"/>
        </w:rPr>
      </w:pPr>
    </w:p>
    <w:p>
      <w:pPr>
        <w:widowControl/>
        <w:spacing w:line="360" w:lineRule="auto"/>
        <w:rPr>
          <w:rFonts w:cs="宋体" w:asciiTheme="minorEastAsia" w:hAnsiTheme="minorEastAsia"/>
          <w:b w:val="0"/>
          <w:bCs/>
          <w:color w:val="auto"/>
          <w:kern w:val="0"/>
          <w:szCs w:val="21"/>
        </w:rPr>
      </w:pPr>
      <w:r>
        <w:rPr>
          <w:rFonts w:hint="eastAsia" w:cs="宋体" w:asciiTheme="minorEastAsia" w:hAnsiTheme="minorEastAsia"/>
          <w:b w:val="0"/>
          <w:bCs/>
          <w:color w:val="auto"/>
          <w:kern w:val="0"/>
          <w:szCs w:val="21"/>
        </w:rPr>
        <w:t>3.为持续改进而策划的活动的进展企业对识别的关键测量过程进行了持续的控制，新增</w:t>
      </w:r>
      <w:r>
        <w:rPr>
          <w:rFonts w:hint="eastAsia" w:cs="宋体" w:asciiTheme="minorEastAsia" w:hAnsiTheme="minorEastAsia"/>
          <w:b w:val="0"/>
          <w:bCs/>
          <w:color w:val="auto"/>
          <w:kern w:val="0"/>
          <w:szCs w:val="21"/>
          <w:lang w:val="en-US" w:eastAsia="zh-CN"/>
        </w:rPr>
        <w:t>1</w:t>
      </w:r>
      <w:r>
        <w:rPr>
          <w:rFonts w:hint="eastAsia" w:cs="宋体" w:asciiTheme="minorEastAsia" w:hAnsiTheme="minorEastAsia"/>
          <w:b w:val="0"/>
          <w:bCs/>
          <w:color w:val="auto"/>
          <w:kern w:val="0"/>
          <w:szCs w:val="21"/>
        </w:rPr>
        <w:t>个关键测量过程：</w:t>
      </w:r>
    </w:p>
    <w:p>
      <w:pPr>
        <w:widowControl/>
        <w:jc w:val="left"/>
        <w:rPr>
          <w:rFonts w:cs="宋体" w:asciiTheme="minorEastAsia" w:hAnsiTheme="minorEastAsia"/>
          <w:bCs/>
          <w:color w:val="auto"/>
          <w:kern w:val="0"/>
          <w:szCs w:val="21"/>
        </w:rPr>
      </w:pPr>
      <w:r>
        <w:rPr>
          <w:rFonts w:hint="eastAsia" w:cs="宋体" w:asciiTheme="minorEastAsia" w:hAnsiTheme="minorEastAsia"/>
          <w:bCs/>
          <w:color w:val="auto"/>
          <w:kern w:val="0"/>
          <w:szCs w:val="21"/>
        </w:rPr>
        <w:t>a)计量要求的导出和验证：查</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选矿设备配件长度尺寸</w:t>
      </w:r>
      <w:r>
        <w:rPr>
          <w:rFonts w:hint="eastAsia"/>
          <w:color w:val="auto"/>
        </w:rPr>
        <w:t>测量过程，计量要求导出方法正确，验证满足测量过程要求。祥见附件《计量要求导出及验证记录表》</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b)</w:t>
      </w:r>
      <w:r>
        <w:rPr>
          <w:rFonts w:cs="宋体" w:asciiTheme="minorEastAsia" w:hAnsiTheme="minorEastAsia"/>
          <w:color w:val="auto"/>
          <w:kern w:val="0"/>
          <w:szCs w:val="21"/>
        </w:rPr>
        <w:t>测量不确定评定</w:t>
      </w:r>
      <w:r>
        <w:rPr>
          <w:rFonts w:hint="eastAsia" w:cs="宋体" w:asciiTheme="minorEastAsia" w:hAnsiTheme="minorEastAsia"/>
          <w:color w:val="auto"/>
          <w:kern w:val="0"/>
          <w:szCs w:val="21"/>
        </w:rPr>
        <w:t>：查</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选矿设备配件长度尺寸</w:t>
      </w:r>
      <w:r>
        <w:rPr>
          <w:rFonts w:hint="eastAsia"/>
          <w:color w:val="auto"/>
        </w:rPr>
        <w:t>测量过程，测量不确定度评定正确。祥见附件《测量不确定度评定》</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c)有效性确认：查</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选矿设备配件长度尺寸</w:t>
      </w:r>
      <w:r>
        <w:rPr>
          <w:rFonts w:hint="eastAsia"/>
          <w:color w:val="auto"/>
        </w:rPr>
        <w:t>测量过程，采用罐车检尺量和流量计量进行比对进行有效性确认，满足要求。祥见附件《测量过程有效性确认》</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d)</w:t>
      </w:r>
      <w:r>
        <w:rPr>
          <w:rFonts w:cs="宋体" w:asciiTheme="minorEastAsia" w:hAnsiTheme="minorEastAsia"/>
          <w:color w:val="auto"/>
          <w:kern w:val="0"/>
          <w:szCs w:val="21"/>
        </w:rPr>
        <w:t>测量过程的控制</w:t>
      </w:r>
      <w:r>
        <w:rPr>
          <w:rFonts w:hint="eastAsia" w:cs="宋体" w:asciiTheme="minorEastAsia" w:hAnsiTheme="minorEastAsia"/>
          <w:color w:val="auto"/>
          <w:kern w:val="0"/>
          <w:szCs w:val="21"/>
        </w:rPr>
        <w:t>：查</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选矿设备配件长度尺寸</w:t>
      </w:r>
      <w:r>
        <w:rPr>
          <w:rFonts w:hint="eastAsia"/>
          <w:color w:val="auto"/>
        </w:rPr>
        <w:t>测量过程，编制了控制规范，对测量人员、测量设备、测量环境进行控制，满足要求。</w:t>
      </w:r>
    </w:p>
    <w:p>
      <w:pPr>
        <w:widowControl/>
        <w:spacing w:line="276" w:lineRule="auto"/>
        <w:rPr>
          <w:rFonts w:hint="eastAsia"/>
          <w:color w:val="auto"/>
          <w:szCs w:val="21"/>
        </w:rPr>
      </w:pPr>
      <w:r>
        <w:rPr>
          <w:rFonts w:hint="eastAsia" w:cs="宋体" w:asciiTheme="minorEastAsia" w:hAnsiTheme="minorEastAsia"/>
          <w:color w:val="auto"/>
          <w:kern w:val="0"/>
          <w:szCs w:val="21"/>
        </w:rPr>
        <w:t>e)</w:t>
      </w:r>
      <w:r>
        <w:rPr>
          <w:rFonts w:cs="宋体" w:asciiTheme="minorEastAsia" w:hAnsiTheme="minorEastAsia"/>
          <w:color w:val="auto"/>
          <w:kern w:val="0"/>
          <w:szCs w:val="21"/>
        </w:rPr>
        <w:t>测量过程的监视</w:t>
      </w:r>
      <w:r>
        <w:rPr>
          <w:rFonts w:hint="eastAsia" w:cs="宋体" w:asciiTheme="minorEastAsia" w:hAnsiTheme="minorEastAsia"/>
          <w:color w:val="auto"/>
          <w:kern w:val="0"/>
          <w:szCs w:val="21"/>
        </w:rPr>
        <w:t>：查</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选矿设备配件长度尺寸</w:t>
      </w:r>
      <w:r>
        <w:rPr>
          <w:rFonts w:hint="eastAsia"/>
          <w:color w:val="auto"/>
        </w:rPr>
        <w:t>测量过程，</w:t>
      </w:r>
      <w:r>
        <w:rPr>
          <w:rFonts w:hint="eastAsia" w:cs="宋体" w:asciiTheme="minorEastAsia" w:hAnsiTheme="minorEastAsia"/>
          <w:color w:val="auto"/>
          <w:kern w:val="0"/>
          <w:szCs w:val="21"/>
        </w:rPr>
        <w:t>采用统计技术进行控制和监视测量过程。祥见《测量过程监视记录》</w:t>
      </w:r>
    </w:p>
    <w:p>
      <w:pPr>
        <w:bidi w:val="0"/>
        <w:snapToGrid w:val="0"/>
        <w:spacing w:line="360" w:lineRule="auto"/>
        <w:ind w:right="-512" w:rightChars="-244"/>
        <w:rPr>
          <w:rFonts w:hint="eastAsia" w:ascii="宋体" w:hAnsi="宋体" w:cs="宋体"/>
          <w:b w:val="0"/>
          <w:bCs w:val="0"/>
          <w:color w:val="auto"/>
          <w:kern w:val="0"/>
          <w:szCs w:val="21"/>
          <w:u w:val="none"/>
        </w:rPr>
      </w:pPr>
      <w:r>
        <w:rPr>
          <w:rFonts w:hint="eastAsia"/>
          <w:color w:val="auto"/>
          <w:szCs w:val="21"/>
        </w:rPr>
        <w:t>f)测量设备的溯源：企业测量设备</w:t>
      </w:r>
      <w:r>
        <w:rPr>
          <w:rFonts w:hint="eastAsia"/>
          <w:color w:val="auto"/>
          <w:szCs w:val="21"/>
          <w:lang w:val="en-US" w:eastAsia="zh-CN"/>
        </w:rPr>
        <w:t>均</w:t>
      </w:r>
      <w:r>
        <w:rPr>
          <w:rFonts w:hint="eastAsia"/>
          <w:color w:val="auto"/>
          <w:szCs w:val="21"/>
        </w:rPr>
        <w:t>外送</w:t>
      </w:r>
      <w:r>
        <w:rPr>
          <w:rFonts w:hint="eastAsia"/>
          <w:color w:val="auto"/>
          <w:szCs w:val="21"/>
          <w:lang w:val="en-US" w:eastAsia="zh-CN"/>
        </w:rPr>
        <w:t>广东省电子电器研究所、深圳中恒检测技术有限公司、江西省宜春</w:t>
      </w:r>
      <w:bookmarkStart w:id="11" w:name="_GoBack"/>
      <w:bookmarkEnd w:id="11"/>
      <w:r>
        <w:rPr>
          <w:rFonts w:hint="eastAsia"/>
          <w:color w:val="auto"/>
          <w:szCs w:val="21"/>
          <w:lang w:val="en-US" w:eastAsia="zh-CN"/>
        </w:rPr>
        <w:t>市计量所</w:t>
      </w:r>
      <w:r>
        <w:rPr>
          <w:rFonts w:hint="eastAsia"/>
          <w:color w:val="auto"/>
          <w:szCs w:val="21"/>
        </w:rPr>
        <w:t>检定/校准。抽查</w:t>
      </w:r>
      <w:r>
        <w:rPr>
          <w:rFonts w:hint="eastAsia"/>
          <w:color w:val="auto"/>
          <w:szCs w:val="21"/>
          <w:lang w:val="en-US" w:eastAsia="zh-CN"/>
        </w:rPr>
        <w:t>7</w:t>
      </w:r>
      <w:r>
        <w:rPr>
          <w:rFonts w:hint="eastAsia"/>
          <w:color w:val="auto"/>
          <w:szCs w:val="21"/>
        </w:rPr>
        <w:t>台测量设备检定/校准证书，溯源满足要求。祥</w:t>
      </w:r>
      <w:r>
        <w:rPr>
          <w:rFonts w:hint="eastAsia" w:ascii="宋体" w:hAnsi="宋体" w:cs="宋体"/>
          <w:b w:val="0"/>
          <w:bCs w:val="0"/>
          <w:color w:val="auto"/>
          <w:kern w:val="0"/>
          <w:szCs w:val="21"/>
          <w:u w:val="none"/>
        </w:rPr>
        <w:t>见《测量设备溯源检查表》</w:t>
      </w:r>
    </w:p>
    <w:p>
      <w:pPr>
        <w:bidi w:val="0"/>
        <w:snapToGrid w:val="0"/>
        <w:spacing w:line="360" w:lineRule="auto"/>
        <w:ind w:right="-512" w:rightChars="-244"/>
        <w:rPr>
          <w:rFonts w:hint="eastAsia" w:ascii="宋体" w:hAnsi="宋体" w:cs="宋体"/>
          <w:b w:val="0"/>
          <w:bCs w:val="0"/>
          <w:color w:val="auto"/>
          <w:kern w:val="0"/>
          <w:szCs w:val="21"/>
          <w:u w:val="none"/>
        </w:rPr>
      </w:pPr>
      <w:r>
        <w:rPr>
          <w:rFonts w:hint="eastAsia" w:ascii="宋体" w:hAnsi="宋体" w:cs="宋体"/>
          <w:b w:val="0"/>
          <w:bCs w:val="0"/>
          <w:color w:val="auto"/>
          <w:kern w:val="0"/>
          <w:szCs w:val="21"/>
          <w:u w:val="none"/>
        </w:rPr>
        <w:t>4.能源管理情况：</w:t>
      </w:r>
    </w:p>
    <w:p>
      <w:pPr>
        <w:bidi w:val="0"/>
        <w:snapToGrid w:val="0"/>
        <w:spacing w:line="360" w:lineRule="auto"/>
        <w:ind w:right="-512" w:rightChars="-244"/>
        <w:rPr>
          <w:rFonts w:hint="eastAsia" w:ascii="宋体" w:hAnsi="宋体" w:cs="宋体"/>
          <w:b w:val="0"/>
          <w:bCs w:val="0"/>
          <w:color w:val="auto"/>
          <w:kern w:val="0"/>
          <w:szCs w:val="21"/>
          <w:u w:val="none"/>
        </w:rPr>
      </w:pPr>
      <w:r>
        <w:rPr>
          <w:rFonts w:hint="eastAsia" w:ascii="宋体" w:hAnsi="宋体" w:cs="宋体"/>
          <w:b w:val="0"/>
          <w:bCs w:val="0"/>
          <w:color w:val="auto"/>
          <w:kern w:val="0"/>
          <w:szCs w:val="21"/>
          <w:u w:val="none"/>
        </w:rPr>
        <w:t xml:space="preserve"> 企业主要耗能为电、</w:t>
      </w:r>
      <w:r>
        <w:rPr>
          <w:rFonts w:hint="eastAsia" w:ascii="宋体" w:hAnsi="宋体" w:cs="宋体"/>
          <w:b w:val="0"/>
          <w:bCs w:val="0"/>
          <w:color w:val="auto"/>
          <w:kern w:val="0"/>
          <w:szCs w:val="21"/>
          <w:u w:val="none"/>
          <w:lang w:val="en-US" w:eastAsia="zh-CN"/>
        </w:rPr>
        <w:t>柴油</w:t>
      </w:r>
      <w:r>
        <w:rPr>
          <w:rFonts w:hint="eastAsia" w:ascii="宋体" w:hAnsi="宋体" w:cs="宋体"/>
          <w:b w:val="0"/>
          <w:bCs w:val="0"/>
          <w:color w:val="auto"/>
          <w:kern w:val="0"/>
          <w:szCs w:val="21"/>
          <w:u w:val="none"/>
        </w:rPr>
        <w:t>，每月供电、部门抄表来计算用电量。</w:t>
      </w:r>
      <w:r>
        <w:rPr>
          <w:rFonts w:hint="eastAsia" w:ascii="宋体" w:hAnsi="宋体" w:cs="宋体"/>
          <w:b w:val="0"/>
          <w:bCs w:val="0"/>
          <w:color w:val="auto"/>
          <w:kern w:val="0"/>
          <w:szCs w:val="21"/>
          <w:u w:val="none"/>
          <w:lang w:val="en-US" w:eastAsia="zh-CN"/>
        </w:rPr>
        <w:t>水为循环用水。</w:t>
      </w:r>
      <w:r>
        <w:rPr>
          <w:rFonts w:hint="eastAsia" w:ascii="宋体" w:hAnsi="宋体" w:cs="宋体"/>
          <w:b w:val="0"/>
          <w:bCs w:val="0"/>
          <w:color w:val="auto"/>
          <w:kern w:val="0"/>
          <w:szCs w:val="21"/>
          <w:u w:val="none"/>
        </w:rPr>
        <w:t>企业20</w:t>
      </w:r>
      <w:r>
        <w:rPr>
          <w:rFonts w:hint="eastAsia" w:ascii="宋体" w:hAnsi="宋体" w:cs="宋体"/>
          <w:b w:val="0"/>
          <w:bCs w:val="0"/>
          <w:color w:val="auto"/>
          <w:kern w:val="0"/>
          <w:szCs w:val="21"/>
          <w:u w:val="none"/>
          <w:lang w:val="en-US" w:eastAsia="zh-CN"/>
        </w:rPr>
        <w:t>20</w:t>
      </w:r>
      <w:r>
        <w:rPr>
          <w:rFonts w:hint="eastAsia" w:ascii="宋体" w:hAnsi="宋体" w:cs="宋体"/>
          <w:b w:val="0"/>
          <w:bCs w:val="0"/>
          <w:color w:val="auto"/>
          <w:kern w:val="0"/>
          <w:szCs w:val="21"/>
          <w:u w:val="none"/>
        </w:rPr>
        <w:t>年</w:t>
      </w:r>
      <w:r>
        <w:rPr>
          <w:rFonts w:hint="eastAsia" w:ascii="宋体" w:hAnsi="宋体" w:cs="宋体"/>
          <w:b w:val="0"/>
          <w:bCs w:val="0"/>
          <w:color w:val="auto"/>
          <w:kern w:val="0"/>
          <w:szCs w:val="21"/>
          <w:u w:val="none"/>
          <w:lang w:val="en-US" w:eastAsia="zh-CN"/>
        </w:rPr>
        <w:t>度</w:t>
      </w:r>
      <w:r>
        <w:rPr>
          <w:rFonts w:hint="eastAsia" w:ascii="宋体" w:hAnsi="宋体" w:cs="宋体"/>
          <w:b w:val="0"/>
          <w:bCs w:val="0"/>
          <w:color w:val="auto"/>
          <w:kern w:val="0"/>
          <w:szCs w:val="21"/>
          <w:u w:val="none"/>
        </w:rPr>
        <w:t>耗</w:t>
      </w:r>
      <w:r>
        <w:rPr>
          <w:rFonts w:hint="eastAsia" w:ascii="宋体" w:hAnsi="宋体" w:cs="宋体"/>
          <w:b w:val="0"/>
          <w:bCs w:val="0"/>
          <w:color w:val="auto"/>
          <w:kern w:val="0"/>
          <w:szCs w:val="21"/>
          <w:u w:val="none"/>
          <w:lang w:val="en-US" w:eastAsia="zh-CN"/>
        </w:rPr>
        <w:t>0.8</w:t>
      </w:r>
      <w:r>
        <w:rPr>
          <w:rFonts w:hint="eastAsia" w:ascii="宋体" w:hAnsi="宋体" w:cs="宋体"/>
          <w:b w:val="0"/>
          <w:bCs w:val="0"/>
          <w:color w:val="auto"/>
          <w:kern w:val="0"/>
          <w:szCs w:val="21"/>
          <w:u w:val="none"/>
        </w:rPr>
        <w:t>（万吨标准煤）</w:t>
      </w:r>
      <w:r>
        <w:rPr>
          <w:rFonts w:hint="eastAsia" w:ascii="宋体" w:hAnsi="宋体" w:cs="宋体"/>
          <w:b w:val="0"/>
          <w:bCs w:val="0"/>
          <w:color w:val="auto"/>
          <w:kern w:val="0"/>
          <w:szCs w:val="21"/>
          <w:u w:val="none"/>
          <w:lang w:eastAsia="zh-CN"/>
        </w:rPr>
        <w:t>，</w:t>
      </w:r>
      <w:r>
        <w:rPr>
          <w:rFonts w:hint="eastAsia" w:ascii="宋体" w:hAnsi="宋体" w:cs="宋体"/>
          <w:b w:val="0"/>
          <w:bCs w:val="0"/>
          <w:color w:val="auto"/>
          <w:kern w:val="0"/>
          <w:szCs w:val="21"/>
          <w:u w:val="none"/>
        </w:rPr>
        <w:t>该企业不是重点耗能单位。企业的一级电能表准确度为1.0级 ，满足GB17167标准4.3.8表4要求。企业的能源测量设备配备和准确度等级由当地供电部门提供和定期进行拆检满足要求。能源管理满足《GB17167-2006用能单位能源计量器具配备和管理通则》的要求。</w:t>
      </w:r>
    </w:p>
    <w:p>
      <w:pPr>
        <w:bidi w:val="0"/>
        <w:snapToGrid w:val="0"/>
        <w:spacing w:line="360" w:lineRule="auto"/>
        <w:ind w:right="-512" w:rightChars="-244"/>
        <w:rPr>
          <w:rFonts w:hint="eastAsia" w:ascii="宋体" w:hAnsi="宋体" w:cs="宋体"/>
          <w:b w:val="0"/>
          <w:bCs w:val="0"/>
          <w:color w:val="auto"/>
          <w:kern w:val="0"/>
          <w:szCs w:val="21"/>
          <w:u w:val="none"/>
        </w:rPr>
      </w:pPr>
      <w:r>
        <w:rPr>
          <w:rFonts w:hint="eastAsia" w:ascii="宋体" w:hAnsi="宋体" w:cs="宋体"/>
          <w:b w:val="0"/>
          <w:bCs w:val="0"/>
          <w:color w:val="auto"/>
          <w:kern w:val="0"/>
          <w:szCs w:val="21"/>
          <w:u w:val="none"/>
        </w:rPr>
        <w:t>5.对认证审核时提出的的不符合项的纠正措施情况有表述： </w:t>
      </w:r>
    </w:p>
    <w:p>
      <w:pPr>
        <w:bidi w:val="0"/>
        <w:snapToGrid w:val="0"/>
        <w:spacing w:line="360" w:lineRule="auto"/>
        <w:ind w:right="-512" w:rightChars="-244"/>
        <w:rPr>
          <w:rFonts w:hint="eastAsia" w:ascii="宋体" w:hAnsi="宋体" w:cs="宋体"/>
          <w:b w:val="0"/>
          <w:bCs w:val="0"/>
          <w:color w:val="auto"/>
          <w:kern w:val="0"/>
          <w:szCs w:val="21"/>
          <w:u w:val="none"/>
        </w:rPr>
      </w:pPr>
      <w:r>
        <w:rPr>
          <w:rFonts w:hint="eastAsia" w:ascii="宋体" w:hAnsi="宋体" w:cs="宋体"/>
          <w:b w:val="0"/>
          <w:bCs w:val="0"/>
          <w:color w:val="auto"/>
          <w:kern w:val="0"/>
          <w:szCs w:val="21"/>
          <w:u w:val="none"/>
        </w:rPr>
        <w:t>查20</w:t>
      </w:r>
      <w:r>
        <w:rPr>
          <w:rFonts w:hint="eastAsia" w:ascii="宋体" w:hAnsi="宋体" w:cs="宋体"/>
          <w:b w:val="0"/>
          <w:bCs w:val="0"/>
          <w:color w:val="auto"/>
          <w:kern w:val="0"/>
          <w:szCs w:val="21"/>
          <w:u w:val="none"/>
          <w:lang w:val="en-US" w:eastAsia="zh-CN"/>
        </w:rPr>
        <w:t>20</w:t>
      </w:r>
      <w:r>
        <w:rPr>
          <w:rFonts w:hint="eastAsia" w:ascii="宋体" w:hAnsi="宋体" w:cs="宋体"/>
          <w:b w:val="0"/>
          <w:bCs w:val="0"/>
          <w:color w:val="auto"/>
          <w:kern w:val="0"/>
          <w:szCs w:val="21"/>
          <w:u w:val="none"/>
        </w:rPr>
        <w:t>年外审开出了</w:t>
      </w:r>
      <w:r>
        <w:rPr>
          <w:rFonts w:hint="eastAsia" w:ascii="宋体" w:hAnsi="宋体" w:cs="宋体"/>
          <w:b w:val="0"/>
          <w:bCs w:val="0"/>
          <w:color w:val="auto"/>
          <w:kern w:val="0"/>
          <w:szCs w:val="21"/>
          <w:u w:val="none"/>
          <w:lang w:val="en-US" w:eastAsia="zh-CN"/>
        </w:rPr>
        <w:t>3</w:t>
      </w:r>
      <w:r>
        <w:rPr>
          <w:rFonts w:hint="eastAsia" w:ascii="宋体" w:hAnsi="宋体" w:cs="宋体"/>
          <w:b w:val="0"/>
          <w:bCs w:val="0"/>
          <w:color w:val="auto"/>
          <w:kern w:val="0"/>
          <w:szCs w:val="21"/>
          <w:u w:val="none"/>
        </w:rPr>
        <w:t>项不符合项报告：</w:t>
      </w:r>
      <w:r>
        <w:rPr>
          <w:rFonts w:hint="eastAsia" w:ascii="宋体" w:hAnsi="宋体" w:cs="宋体"/>
          <w:b w:val="0"/>
          <w:bCs w:val="0"/>
          <w:color w:val="auto"/>
          <w:kern w:val="0"/>
          <w:szCs w:val="21"/>
          <w:u w:val="none"/>
          <w:lang w:val="en-US" w:eastAsia="zh-CN"/>
        </w:rPr>
        <w:t>1）</w:t>
      </w:r>
      <w:r>
        <w:rPr>
          <w:rFonts w:hint="eastAsia" w:ascii="宋体" w:hAnsi="宋体" w:cs="宋体"/>
          <w:b w:val="0"/>
          <w:bCs w:val="0"/>
          <w:color w:val="auto"/>
          <w:kern w:val="0"/>
          <w:szCs w:val="21"/>
          <w:u w:val="none"/>
        </w:rPr>
        <w:t xml:space="preserve"> </w:t>
      </w:r>
      <w:r>
        <w:rPr>
          <w:rFonts w:hint="eastAsia" w:ascii="宋体" w:hAnsi="宋体" w:cs="宋体"/>
          <w:b w:val="0"/>
          <w:bCs w:val="0"/>
          <w:color w:val="auto"/>
          <w:kern w:val="0"/>
          <w:szCs w:val="21"/>
          <w:u w:val="none"/>
          <w:lang w:val="en-US" w:eastAsia="zh-CN"/>
        </w:rPr>
        <w:t>在公司</w:t>
      </w:r>
      <w:r>
        <w:rPr>
          <w:rFonts w:hint="eastAsia" w:ascii="宋体" w:hAnsi="宋体" w:cs="宋体"/>
          <w:b w:val="0"/>
          <w:bCs w:val="0"/>
          <w:color w:val="auto"/>
          <w:kern w:val="0"/>
          <w:szCs w:val="21"/>
          <w:u w:val="none"/>
        </w:rPr>
        <w:t>办公室</w:t>
      </w:r>
      <w:r>
        <w:rPr>
          <w:rFonts w:hint="eastAsia" w:ascii="宋体" w:hAnsi="宋体" w:cs="宋体"/>
          <w:b w:val="0"/>
          <w:bCs w:val="0"/>
          <w:color w:val="auto"/>
          <w:kern w:val="0"/>
          <w:szCs w:val="21"/>
          <w:u w:val="none"/>
          <w:lang w:val="en-US" w:eastAsia="zh-CN"/>
        </w:rPr>
        <w:t>审核时发现，企业</w:t>
      </w:r>
      <w:r>
        <w:rPr>
          <w:rFonts w:hint="eastAsia" w:ascii="宋体" w:hAnsi="宋体" w:cs="宋体"/>
          <w:b w:val="0"/>
          <w:bCs w:val="0"/>
          <w:color w:val="auto"/>
          <w:kern w:val="0"/>
          <w:szCs w:val="21"/>
          <w:u w:val="none"/>
        </w:rPr>
        <w:t>没有</w:t>
      </w:r>
      <w:r>
        <w:rPr>
          <w:rFonts w:hint="eastAsia" w:ascii="宋体" w:hAnsi="宋体" w:cs="宋体"/>
          <w:b w:val="0"/>
          <w:bCs w:val="0"/>
          <w:color w:val="auto"/>
          <w:kern w:val="0"/>
          <w:szCs w:val="21"/>
          <w:u w:val="none"/>
          <w:lang w:val="en-US" w:eastAsia="zh-CN"/>
        </w:rPr>
        <w:t>对</w:t>
      </w:r>
      <w:r>
        <w:rPr>
          <w:rFonts w:hint="eastAsia" w:ascii="宋体" w:hAnsi="宋体" w:cs="宋体"/>
          <w:b w:val="0"/>
          <w:bCs w:val="0"/>
          <w:color w:val="auto"/>
          <w:kern w:val="0"/>
          <w:szCs w:val="21"/>
          <w:u w:val="none"/>
        </w:rPr>
        <w:t>技术性文件</w:t>
      </w:r>
      <w:r>
        <w:rPr>
          <w:rFonts w:hint="eastAsia" w:ascii="宋体" w:hAnsi="宋体" w:cs="宋体"/>
          <w:b w:val="0"/>
          <w:bCs w:val="0"/>
          <w:color w:val="auto"/>
          <w:kern w:val="0"/>
          <w:szCs w:val="21"/>
          <w:u w:val="none"/>
          <w:lang w:val="en-US" w:eastAsia="zh-CN"/>
        </w:rPr>
        <w:t>建立</w:t>
      </w:r>
      <w:r>
        <w:rPr>
          <w:rFonts w:hint="eastAsia" w:ascii="宋体" w:hAnsi="宋体" w:cs="宋体"/>
          <w:b w:val="0"/>
          <w:bCs w:val="0"/>
          <w:color w:val="auto"/>
          <w:kern w:val="0"/>
          <w:szCs w:val="21"/>
          <w:u w:val="none"/>
        </w:rPr>
        <w:t>有效目录，现场使用的技术文件</w:t>
      </w:r>
      <w:r>
        <w:rPr>
          <w:rFonts w:hint="eastAsia" w:ascii="宋体" w:hAnsi="宋体" w:cs="宋体"/>
          <w:b w:val="0"/>
          <w:bCs w:val="0"/>
          <w:color w:val="auto"/>
          <w:kern w:val="0"/>
          <w:szCs w:val="21"/>
          <w:u w:val="none"/>
          <w:lang w:val="en-US" w:eastAsia="zh-CN"/>
        </w:rPr>
        <w:t>没有唯一性标识，</w:t>
      </w:r>
      <w:r>
        <w:rPr>
          <w:rFonts w:hint="eastAsia" w:ascii="宋体" w:hAnsi="宋体" w:cs="宋体"/>
          <w:b w:val="0"/>
          <w:bCs w:val="0"/>
          <w:color w:val="auto"/>
          <w:kern w:val="0"/>
          <w:szCs w:val="21"/>
          <w:u w:val="none"/>
        </w:rPr>
        <w:t>未盖受控章。不符合认证</w:t>
      </w:r>
      <w:r>
        <w:rPr>
          <w:rFonts w:hint="eastAsia" w:ascii="宋体" w:hAnsi="宋体" w:cs="宋体"/>
          <w:b w:val="0"/>
          <w:bCs w:val="0"/>
          <w:color w:val="auto"/>
          <w:kern w:val="0"/>
          <w:szCs w:val="21"/>
          <w:u w:val="none"/>
          <w:lang w:val="zh-CN"/>
        </w:rPr>
        <w:t>审核准则</w:t>
      </w:r>
      <w:r>
        <w:rPr>
          <w:rFonts w:hint="eastAsia" w:ascii="宋体" w:hAnsi="宋体" w:cs="宋体"/>
          <w:b w:val="0"/>
          <w:bCs w:val="0"/>
          <w:color w:val="auto"/>
          <w:kern w:val="0"/>
          <w:szCs w:val="21"/>
          <w:u w:val="none"/>
        </w:rPr>
        <w:t xml:space="preserve">条款：GB/T19022-2003中6.2.1的要求，为次要不符合。  </w:t>
      </w:r>
    </w:p>
    <w:p>
      <w:pPr>
        <w:bidi w:val="0"/>
        <w:snapToGrid w:val="0"/>
        <w:spacing w:line="360" w:lineRule="auto"/>
        <w:ind w:right="-512" w:rightChars="-244"/>
        <w:rPr>
          <w:rFonts w:hint="default" w:ascii="宋体" w:hAnsi="宋体" w:cs="宋体"/>
          <w:b w:val="0"/>
          <w:bCs w:val="0"/>
          <w:color w:val="auto"/>
          <w:kern w:val="0"/>
          <w:szCs w:val="21"/>
          <w:u w:val="none"/>
          <w:lang w:val="en-US" w:eastAsia="zh-CN"/>
        </w:rPr>
      </w:pPr>
      <w:r>
        <w:rPr>
          <w:rFonts w:hint="eastAsia" w:ascii="宋体" w:hAnsi="宋体" w:cs="宋体"/>
          <w:b w:val="0"/>
          <w:bCs w:val="0"/>
          <w:color w:val="auto"/>
          <w:kern w:val="0"/>
          <w:szCs w:val="21"/>
          <w:u w:val="none"/>
          <w:lang w:val="en-US" w:eastAsia="zh-CN"/>
        </w:rPr>
        <w:t>2）</w:t>
      </w:r>
      <w:r>
        <w:rPr>
          <w:rFonts w:hint="eastAsia" w:ascii="宋体" w:hAnsi="宋体" w:cs="宋体"/>
          <w:b w:val="0"/>
          <w:bCs w:val="0"/>
          <w:color w:val="auto"/>
          <w:kern w:val="0"/>
          <w:szCs w:val="21"/>
          <w:u w:val="none"/>
        </w:rPr>
        <w:t xml:space="preserve"> </w:t>
      </w:r>
      <w:r>
        <w:rPr>
          <w:rFonts w:hint="eastAsia" w:ascii="宋体" w:hAnsi="宋体" w:cs="宋体"/>
          <w:b w:val="0"/>
          <w:bCs w:val="0"/>
          <w:color w:val="auto"/>
          <w:kern w:val="0"/>
          <w:szCs w:val="21"/>
          <w:u w:val="none"/>
          <w:lang w:val="en-US" w:eastAsia="zh-CN"/>
        </w:rPr>
        <w:t>在采矿场民爆器材仓库审核时发现，民爆器材仓库管理制度要求：“库房内设置温湿度计，保管员应定期进行测定，记录相关数据”</w:t>
      </w:r>
      <w:r>
        <w:rPr>
          <w:rFonts w:hint="eastAsia" w:ascii="宋体" w:hAnsi="宋体" w:cs="宋体"/>
          <w:b w:val="0"/>
          <w:bCs w:val="0"/>
          <w:color w:val="auto"/>
          <w:kern w:val="0"/>
          <w:szCs w:val="21"/>
          <w:u w:val="none"/>
        </w:rPr>
        <w:t>。</w:t>
      </w:r>
      <w:r>
        <w:rPr>
          <w:rFonts w:hint="eastAsia" w:ascii="宋体" w:hAnsi="宋体" w:cs="宋体"/>
          <w:b w:val="0"/>
          <w:bCs w:val="0"/>
          <w:color w:val="auto"/>
          <w:kern w:val="0"/>
          <w:szCs w:val="21"/>
          <w:u w:val="none"/>
          <w:lang w:val="en-US" w:eastAsia="zh-CN"/>
        </w:rPr>
        <w:t>但保管员未对库房定期做温湿度记录。</w:t>
      </w:r>
      <w:r>
        <w:rPr>
          <w:rFonts w:hint="eastAsia" w:ascii="宋体" w:hAnsi="宋体" w:cs="宋体"/>
          <w:b w:val="0"/>
          <w:bCs w:val="0"/>
          <w:color w:val="auto"/>
          <w:kern w:val="0"/>
          <w:szCs w:val="21"/>
          <w:u w:val="none"/>
        </w:rPr>
        <w:t>不符合认证</w:t>
      </w:r>
      <w:r>
        <w:rPr>
          <w:rFonts w:hint="eastAsia" w:ascii="宋体" w:hAnsi="宋体" w:cs="宋体"/>
          <w:b w:val="0"/>
          <w:bCs w:val="0"/>
          <w:color w:val="auto"/>
          <w:kern w:val="0"/>
          <w:szCs w:val="21"/>
          <w:u w:val="none"/>
          <w:lang w:val="zh-CN"/>
        </w:rPr>
        <w:t>审核准则</w:t>
      </w:r>
      <w:r>
        <w:rPr>
          <w:rFonts w:hint="eastAsia" w:ascii="宋体" w:hAnsi="宋体" w:cs="宋体"/>
          <w:b w:val="0"/>
          <w:bCs w:val="0"/>
          <w:color w:val="auto"/>
          <w:kern w:val="0"/>
          <w:szCs w:val="21"/>
          <w:u w:val="none"/>
        </w:rPr>
        <w:t>条款：GB/T19022-2003中6.2.</w:t>
      </w:r>
      <w:r>
        <w:rPr>
          <w:rFonts w:hint="eastAsia" w:ascii="宋体" w:hAnsi="宋体" w:cs="宋体"/>
          <w:b w:val="0"/>
          <w:bCs w:val="0"/>
          <w:color w:val="auto"/>
          <w:kern w:val="0"/>
          <w:szCs w:val="21"/>
          <w:u w:val="none"/>
          <w:lang w:val="en-US" w:eastAsia="zh-CN"/>
        </w:rPr>
        <w:t>3</w:t>
      </w:r>
      <w:r>
        <w:rPr>
          <w:rFonts w:hint="eastAsia" w:ascii="宋体" w:hAnsi="宋体" w:cs="宋体"/>
          <w:b w:val="0"/>
          <w:bCs w:val="0"/>
          <w:color w:val="auto"/>
          <w:kern w:val="0"/>
          <w:szCs w:val="21"/>
          <w:u w:val="none"/>
        </w:rPr>
        <w:t>的要求，为次要不符合。</w:t>
      </w:r>
    </w:p>
    <w:p>
      <w:pPr>
        <w:bidi w:val="0"/>
        <w:snapToGrid w:val="0"/>
        <w:spacing w:line="360" w:lineRule="auto"/>
        <w:ind w:right="-512" w:rightChars="-244"/>
        <w:rPr>
          <w:rFonts w:hint="eastAsia" w:ascii="宋体" w:hAnsi="宋体" w:cs="宋体"/>
          <w:b w:val="0"/>
          <w:bCs w:val="0"/>
          <w:color w:val="auto"/>
          <w:kern w:val="0"/>
          <w:szCs w:val="21"/>
          <w:u w:val="none"/>
        </w:rPr>
      </w:pPr>
      <w:r>
        <w:rPr>
          <w:rFonts w:hint="eastAsia" w:ascii="宋体" w:hAnsi="宋体" w:cs="宋体"/>
          <w:b w:val="0"/>
          <w:bCs w:val="0"/>
          <w:color w:val="auto"/>
          <w:kern w:val="0"/>
          <w:szCs w:val="21"/>
          <w:u w:val="none"/>
          <w:lang w:val="en-US" w:eastAsia="zh-CN"/>
        </w:rPr>
        <w:t>3）</w:t>
      </w:r>
      <w:r>
        <w:rPr>
          <w:rFonts w:hint="eastAsia" w:ascii="宋体" w:hAnsi="宋体" w:cs="宋体"/>
          <w:b w:val="0"/>
          <w:bCs w:val="0"/>
          <w:color w:val="auto"/>
          <w:kern w:val="0"/>
          <w:szCs w:val="21"/>
          <w:u w:val="none"/>
        </w:rPr>
        <w:t xml:space="preserve"> </w:t>
      </w:r>
      <w:r>
        <w:rPr>
          <w:rFonts w:hint="eastAsia" w:ascii="宋体" w:hAnsi="宋体" w:cs="宋体"/>
          <w:b w:val="0"/>
          <w:bCs w:val="0"/>
          <w:color w:val="auto"/>
          <w:kern w:val="0"/>
          <w:szCs w:val="21"/>
          <w:u w:val="none"/>
          <w:lang w:val="en-US" w:eastAsia="zh-CN"/>
        </w:rPr>
        <w:t>在</w:t>
      </w:r>
      <w:r>
        <w:rPr>
          <w:rFonts w:hint="eastAsia" w:ascii="宋体" w:hAnsi="宋体" w:cs="宋体"/>
          <w:b w:val="0"/>
          <w:bCs w:val="0"/>
          <w:color w:val="auto"/>
          <w:kern w:val="0"/>
          <w:szCs w:val="21"/>
          <w:u w:val="none"/>
          <w:lang w:eastAsia="zh-CN"/>
        </w:rPr>
        <w:t>生产技术部</w:t>
      </w:r>
      <w:r>
        <w:rPr>
          <w:rFonts w:hint="eastAsia" w:ascii="宋体" w:hAnsi="宋体" w:cs="宋体"/>
          <w:b w:val="0"/>
          <w:bCs w:val="0"/>
          <w:color w:val="auto"/>
          <w:kern w:val="0"/>
          <w:szCs w:val="21"/>
          <w:u w:val="none"/>
          <w:lang w:val="en-US" w:eastAsia="zh-CN"/>
        </w:rPr>
        <w:t>化验室审核时发现，校准电子天平的砝码没有进行检定/校准。</w:t>
      </w:r>
      <w:r>
        <w:rPr>
          <w:rFonts w:hint="eastAsia" w:ascii="宋体" w:hAnsi="宋体" w:cs="宋体"/>
          <w:b w:val="0"/>
          <w:bCs w:val="0"/>
          <w:color w:val="auto"/>
          <w:kern w:val="0"/>
          <w:szCs w:val="21"/>
          <w:u w:val="none"/>
        </w:rPr>
        <w:t>不符合认证</w:t>
      </w:r>
      <w:r>
        <w:rPr>
          <w:rFonts w:hint="eastAsia" w:ascii="宋体" w:hAnsi="宋体" w:cs="宋体"/>
          <w:b w:val="0"/>
          <w:bCs w:val="0"/>
          <w:color w:val="auto"/>
          <w:kern w:val="0"/>
          <w:szCs w:val="21"/>
          <w:u w:val="none"/>
          <w:lang w:val="zh-CN"/>
        </w:rPr>
        <w:t>审核准则</w:t>
      </w:r>
      <w:r>
        <w:rPr>
          <w:rFonts w:hint="eastAsia" w:ascii="宋体" w:hAnsi="宋体" w:cs="宋体"/>
          <w:b w:val="0"/>
          <w:bCs w:val="0"/>
          <w:color w:val="auto"/>
          <w:kern w:val="0"/>
          <w:szCs w:val="21"/>
          <w:u w:val="none"/>
        </w:rPr>
        <w:t xml:space="preserve">条款：GB/T19022-2003中7.3.2的要求，为次要不符合。  </w:t>
      </w:r>
    </w:p>
    <w:p>
      <w:pPr>
        <w:bidi w:val="0"/>
        <w:snapToGrid w:val="0"/>
        <w:spacing w:line="360" w:lineRule="auto"/>
        <w:ind w:right="-512" w:rightChars="-244"/>
        <w:rPr>
          <w:rFonts w:hint="eastAsia" w:ascii="宋体" w:hAnsi="宋体" w:cs="宋体"/>
          <w:b w:val="0"/>
          <w:bCs w:val="0"/>
          <w:color w:val="auto"/>
          <w:kern w:val="0"/>
          <w:szCs w:val="21"/>
          <w:u w:val="none"/>
        </w:rPr>
      </w:pPr>
      <w:r>
        <w:rPr>
          <w:rFonts w:hint="eastAsia" w:ascii="宋体" w:hAnsi="宋体" w:cs="宋体"/>
          <w:b w:val="0"/>
          <w:bCs w:val="0"/>
          <w:color w:val="auto"/>
          <w:kern w:val="0"/>
          <w:szCs w:val="21"/>
          <w:u w:val="none"/>
        </w:rPr>
        <w:t>企业对不符合</w:t>
      </w:r>
      <w:r>
        <w:rPr>
          <w:rFonts w:hint="eastAsia" w:ascii="宋体" w:hAnsi="宋体" w:cs="宋体"/>
          <w:b w:val="0"/>
          <w:bCs w:val="0"/>
          <w:color w:val="auto"/>
          <w:kern w:val="0"/>
          <w:szCs w:val="21"/>
          <w:u w:val="none"/>
          <w:lang w:val="en-US" w:eastAsia="zh-CN"/>
        </w:rPr>
        <w:t>项</w:t>
      </w:r>
      <w:r>
        <w:rPr>
          <w:rFonts w:hint="eastAsia" w:ascii="宋体" w:hAnsi="宋体" w:cs="宋体"/>
          <w:b w:val="0"/>
          <w:bCs w:val="0"/>
          <w:color w:val="auto"/>
          <w:kern w:val="0"/>
          <w:szCs w:val="21"/>
          <w:u w:val="none"/>
        </w:rPr>
        <w:t>组织了纠正，1.</w:t>
      </w:r>
      <w:r>
        <w:rPr>
          <w:rFonts w:hint="eastAsia" w:ascii="宋体" w:hAnsi="宋体" w:cs="宋体"/>
          <w:b w:val="0"/>
          <w:bCs w:val="0"/>
          <w:color w:val="auto"/>
          <w:kern w:val="0"/>
          <w:szCs w:val="21"/>
          <w:u w:val="none"/>
          <w:lang w:val="en-US" w:eastAsia="zh-CN"/>
        </w:rPr>
        <w:t>公司</w:t>
      </w:r>
      <w:r>
        <w:rPr>
          <w:rFonts w:hint="eastAsia" w:ascii="宋体" w:hAnsi="宋体" w:cs="宋体"/>
          <w:b w:val="0"/>
          <w:bCs w:val="0"/>
          <w:color w:val="auto"/>
          <w:kern w:val="0"/>
          <w:szCs w:val="21"/>
          <w:u w:val="none"/>
        </w:rPr>
        <w:t>技术性文件</w:t>
      </w:r>
      <w:r>
        <w:rPr>
          <w:rFonts w:hint="eastAsia" w:ascii="宋体" w:hAnsi="宋体" w:cs="宋体"/>
          <w:b w:val="0"/>
          <w:bCs w:val="0"/>
          <w:color w:val="auto"/>
          <w:kern w:val="0"/>
          <w:szCs w:val="21"/>
          <w:u w:val="none"/>
          <w:lang w:val="en-US" w:eastAsia="zh-CN"/>
        </w:rPr>
        <w:t>建立</w:t>
      </w:r>
      <w:r>
        <w:rPr>
          <w:rFonts w:hint="eastAsia" w:ascii="宋体" w:hAnsi="宋体" w:cs="宋体"/>
          <w:b w:val="0"/>
          <w:bCs w:val="0"/>
          <w:color w:val="auto"/>
          <w:kern w:val="0"/>
          <w:szCs w:val="21"/>
          <w:u w:val="none"/>
        </w:rPr>
        <w:t>有效目录，现场使用的技术文件</w:t>
      </w:r>
      <w:r>
        <w:rPr>
          <w:rFonts w:hint="eastAsia" w:ascii="宋体" w:hAnsi="宋体" w:cs="宋体"/>
          <w:b w:val="0"/>
          <w:bCs w:val="0"/>
          <w:color w:val="auto"/>
          <w:kern w:val="0"/>
          <w:szCs w:val="21"/>
          <w:u w:val="none"/>
          <w:lang w:val="en-US" w:eastAsia="zh-CN"/>
        </w:rPr>
        <w:t>编制唯一性标识，并</w:t>
      </w:r>
      <w:r>
        <w:rPr>
          <w:rFonts w:hint="eastAsia" w:ascii="宋体" w:hAnsi="宋体" w:cs="宋体"/>
          <w:b w:val="0"/>
          <w:bCs w:val="0"/>
          <w:color w:val="auto"/>
          <w:kern w:val="0"/>
          <w:szCs w:val="21"/>
          <w:u w:val="none"/>
        </w:rPr>
        <w:t>盖受控章；2.</w:t>
      </w:r>
      <w:r>
        <w:rPr>
          <w:rFonts w:hint="eastAsia" w:ascii="宋体" w:hAnsi="宋体" w:cs="宋体"/>
          <w:b w:val="0"/>
          <w:bCs w:val="0"/>
          <w:color w:val="auto"/>
          <w:kern w:val="0"/>
          <w:szCs w:val="21"/>
          <w:u w:val="none"/>
          <w:lang w:val="en-US" w:eastAsia="zh-CN"/>
        </w:rPr>
        <w:t>采矿场民爆器材仓库温湿度计，保管员定期进行测定，记录相关数据；3.校准电子天平的砝码2020年9月18日进行检定/校准</w:t>
      </w:r>
      <w:r>
        <w:rPr>
          <w:rFonts w:hint="eastAsia" w:ascii="宋体" w:hAnsi="宋体" w:cs="宋体"/>
          <w:b w:val="0"/>
          <w:bCs w:val="0"/>
          <w:color w:val="auto"/>
          <w:kern w:val="0"/>
          <w:szCs w:val="21"/>
          <w:u w:val="none"/>
        </w:rPr>
        <w:t>。验证</w:t>
      </w:r>
      <w:r>
        <w:rPr>
          <w:rFonts w:hint="eastAsia" w:ascii="宋体" w:hAnsi="宋体" w:cs="宋体"/>
          <w:b w:val="0"/>
          <w:bCs w:val="0"/>
          <w:color w:val="auto"/>
          <w:kern w:val="0"/>
          <w:szCs w:val="21"/>
          <w:u w:val="none"/>
          <w:lang w:val="en-US" w:eastAsia="zh-CN"/>
        </w:rPr>
        <w:t>3项</w:t>
      </w:r>
      <w:r>
        <w:rPr>
          <w:rFonts w:hint="eastAsia" w:ascii="宋体" w:hAnsi="宋体" w:cs="宋体"/>
          <w:b w:val="0"/>
          <w:bCs w:val="0"/>
          <w:color w:val="auto"/>
          <w:kern w:val="0"/>
          <w:szCs w:val="21"/>
          <w:u w:val="none"/>
        </w:rPr>
        <w:t>不符合项纠正措施有效，同意关闭。</w:t>
      </w:r>
    </w:p>
    <w:p>
      <w:pPr>
        <w:widowControl/>
        <w:numPr>
          <w:ilvl w:val="0"/>
          <w:numId w:val="1"/>
        </w:numPr>
        <w:spacing w:line="276" w:lineRule="auto"/>
        <w:rPr>
          <w:rFonts w:cs="宋体" w:asciiTheme="minorEastAsia" w:hAnsiTheme="minorEastAsia"/>
          <w:bCs/>
          <w:color w:val="auto"/>
          <w:kern w:val="0"/>
          <w:szCs w:val="21"/>
        </w:rPr>
      </w:pPr>
      <w:r>
        <w:rPr>
          <w:rFonts w:hint="eastAsia" w:cs="宋体" w:asciiTheme="minorEastAsia" w:hAnsiTheme="minorEastAsia"/>
          <w:color w:val="auto"/>
          <w:kern w:val="0"/>
          <w:szCs w:val="21"/>
        </w:rPr>
        <w:t>对</w:t>
      </w:r>
      <w:r>
        <w:rPr>
          <w:rFonts w:hint="eastAsia" w:asciiTheme="minorEastAsia" w:hAnsiTheme="minorEastAsia"/>
          <w:bCs/>
          <w:color w:val="auto"/>
          <w:szCs w:val="21"/>
        </w:rPr>
        <w:t>投诉的处理</w:t>
      </w:r>
      <w:r>
        <w:rPr>
          <w:rFonts w:cs="宋体" w:asciiTheme="minorEastAsia" w:hAnsiTheme="minorEastAsia"/>
          <w:bCs/>
          <w:color w:val="auto"/>
          <w:kern w:val="0"/>
          <w:szCs w:val="21"/>
        </w:rPr>
        <w:t>情况：</w:t>
      </w:r>
    </w:p>
    <w:p>
      <w:pPr>
        <w:widowControl/>
        <w:spacing w:line="360" w:lineRule="auto"/>
        <w:ind w:firstLine="420" w:firstLineChars="200"/>
        <w:rPr>
          <w:rFonts w:ascii="宋体" w:hAnsi="宋体" w:cs="宋体"/>
          <w:bCs/>
          <w:color w:val="auto"/>
          <w:kern w:val="0"/>
          <w:szCs w:val="21"/>
        </w:rPr>
      </w:pPr>
      <w:r>
        <w:rPr>
          <w:rFonts w:hint="eastAsia" w:cs="宋体" w:asciiTheme="minorEastAsia" w:hAnsiTheme="minorEastAsia"/>
          <w:bCs/>
          <w:color w:val="auto"/>
          <w:kern w:val="0"/>
          <w:szCs w:val="21"/>
        </w:rPr>
        <w:t>企业2020年未有顾客的投诉。</w:t>
      </w:r>
      <w:r>
        <w:rPr>
          <w:rFonts w:hint="eastAsia"/>
          <w:bCs/>
          <w:color w:val="auto"/>
          <w:szCs w:val="21"/>
        </w:rPr>
        <w:t>企业未有</w:t>
      </w:r>
      <w:r>
        <w:rPr>
          <w:rFonts w:ascii="宋体" w:hAnsi="宋体" w:cs="宋体"/>
          <w:bCs/>
          <w:color w:val="auto"/>
          <w:kern w:val="0"/>
          <w:szCs w:val="21"/>
        </w:rPr>
        <w:t>违反法律</w:t>
      </w:r>
      <w:r>
        <w:rPr>
          <w:rFonts w:hint="eastAsia" w:ascii="宋体" w:hAnsi="宋体" w:cs="宋体"/>
          <w:bCs/>
          <w:color w:val="auto"/>
          <w:kern w:val="0"/>
          <w:szCs w:val="21"/>
        </w:rPr>
        <w:t>、</w:t>
      </w:r>
      <w:r>
        <w:rPr>
          <w:rFonts w:ascii="宋体" w:hAnsi="宋体" w:cs="宋体"/>
          <w:bCs/>
          <w:color w:val="auto"/>
          <w:kern w:val="0"/>
          <w:szCs w:val="21"/>
        </w:rPr>
        <w:t>法规</w:t>
      </w:r>
      <w:r>
        <w:rPr>
          <w:rFonts w:hint="eastAsia" w:ascii="宋体" w:hAnsi="宋体" w:cs="宋体"/>
          <w:bCs/>
          <w:color w:val="auto"/>
          <w:kern w:val="0"/>
          <w:szCs w:val="21"/>
        </w:rPr>
        <w:t>问题和产品质量问题的投诉或</w:t>
      </w:r>
      <w:r>
        <w:rPr>
          <w:rFonts w:ascii="宋体" w:hAnsi="宋体" w:cs="宋体"/>
          <w:bCs/>
          <w:color w:val="auto"/>
          <w:kern w:val="0"/>
          <w:szCs w:val="21"/>
        </w:rPr>
        <w:t>重大</w:t>
      </w:r>
      <w:r>
        <w:rPr>
          <w:rFonts w:hint="eastAsia" w:ascii="宋体" w:hAnsi="宋体" w:cs="宋体"/>
          <w:bCs/>
          <w:color w:val="auto"/>
          <w:kern w:val="0"/>
          <w:szCs w:val="21"/>
        </w:rPr>
        <w:t>质量</w:t>
      </w:r>
      <w:r>
        <w:rPr>
          <w:rFonts w:ascii="宋体" w:hAnsi="宋体" w:cs="宋体"/>
          <w:bCs/>
          <w:color w:val="auto"/>
          <w:kern w:val="0"/>
          <w:szCs w:val="21"/>
        </w:rPr>
        <w:t>事故</w:t>
      </w:r>
      <w:r>
        <w:rPr>
          <w:rFonts w:hint="eastAsia" w:ascii="宋体" w:hAnsi="宋体" w:cs="宋体"/>
          <w:bCs/>
          <w:color w:val="auto"/>
          <w:kern w:val="0"/>
          <w:szCs w:val="21"/>
        </w:rPr>
        <w:t>发生。</w:t>
      </w:r>
    </w:p>
    <w:p>
      <w:pPr>
        <w:widowControl/>
        <w:numPr>
          <w:ilvl w:val="0"/>
          <w:numId w:val="1"/>
        </w:numPr>
        <w:spacing w:line="276" w:lineRule="auto"/>
        <w:rPr>
          <w:rFonts w:cs="宋体" w:asciiTheme="minorEastAsia" w:hAnsiTheme="minorEastAsia"/>
          <w:bCs/>
          <w:color w:val="auto"/>
          <w:kern w:val="0"/>
          <w:szCs w:val="21"/>
        </w:rPr>
      </w:pPr>
      <w:r>
        <w:rPr>
          <w:rFonts w:hint="eastAsia" w:asciiTheme="minorEastAsia" w:hAnsiTheme="minorEastAsia"/>
          <w:bCs/>
          <w:color w:val="auto"/>
          <w:szCs w:val="21"/>
        </w:rPr>
        <w:t>测量管理体系在实现获证客户目标方面的有效性及持续的运作控制</w:t>
      </w:r>
      <w:r>
        <w:rPr>
          <w:rFonts w:cs="宋体" w:asciiTheme="minorEastAsia" w:hAnsiTheme="minorEastAsia"/>
          <w:bCs/>
          <w:color w:val="auto"/>
          <w:kern w:val="0"/>
          <w:szCs w:val="21"/>
        </w:rPr>
        <w:t>情况：</w:t>
      </w:r>
    </w:p>
    <w:p>
      <w:pPr>
        <w:widowControl/>
        <w:spacing w:line="276" w:lineRule="auto"/>
        <w:rPr>
          <w:rFonts w:hint="eastAsia" w:asciiTheme="minorEastAsia" w:hAnsiTheme="minorEastAsia"/>
          <w:bCs/>
          <w:color w:val="auto"/>
          <w:szCs w:val="21"/>
        </w:rPr>
      </w:pPr>
      <w:r>
        <w:rPr>
          <w:rFonts w:hint="eastAsia" w:ascii="宋体" w:hAnsi="宋体"/>
          <w:bCs/>
          <w:color w:val="auto"/>
          <w:szCs w:val="21"/>
        </w:rPr>
        <w:t>公</w:t>
      </w:r>
      <w:r>
        <w:rPr>
          <w:rFonts w:hint="eastAsia" w:asciiTheme="minorEastAsia" w:hAnsiTheme="minorEastAsia"/>
          <w:bCs/>
          <w:color w:val="auto"/>
          <w:szCs w:val="21"/>
        </w:rPr>
        <w:t>司制定了测量管理体系质量目标</w:t>
      </w:r>
      <w:r>
        <w:rPr>
          <w:rFonts w:hint="eastAsia" w:asciiTheme="minorEastAsia" w:hAnsiTheme="minorEastAsia"/>
          <w:bCs/>
          <w:color w:val="auto"/>
          <w:szCs w:val="21"/>
          <w:lang w:val="en-US" w:eastAsia="zh-CN"/>
        </w:rPr>
        <w:t>4</w:t>
      </w:r>
      <w:r>
        <w:rPr>
          <w:rFonts w:hint="eastAsia" w:asciiTheme="minorEastAsia" w:hAnsiTheme="minorEastAsia"/>
          <w:bCs/>
          <w:color w:val="auto"/>
          <w:szCs w:val="21"/>
        </w:rPr>
        <w:t>项</w:t>
      </w:r>
      <w:r>
        <w:rPr>
          <w:rFonts w:hint="eastAsia" w:asciiTheme="minorEastAsia" w:hAnsiTheme="minorEastAsia"/>
          <w:bCs/>
          <w:color w:val="auto"/>
          <w:szCs w:val="21"/>
          <w:lang w:eastAsia="zh-CN"/>
        </w:rPr>
        <w:t>，</w:t>
      </w:r>
      <w:r>
        <w:rPr>
          <w:rFonts w:hint="eastAsia" w:asciiTheme="minorEastAsia" w:hAnsiTheme="minorEastAsia"/>
          <w:bCs/>
          <w:color w:val="auto"/>
          <w:szCs w:val="21"/>
        </w:rPr>
        <w:t>查</w:t>
      </w:r>
      <w:r>
        <w:rPr>
          <w:rFonts w:hint="eastAsia" w:asciiTheme="minorEastAsia" w:hAnsiTheme="minorEastAsia"/>
          <w:bCs/>
          <w:color w:val="auto"/>
          <w:szCs w:val="21"/>
          <w:lang w:val="en-US" w:eastAsia="zh-CN"/>
        </w:rPr>
        <w:t>生产技术部</w:t>
      </w:r>
      <w:r>
        <w:rPr>
          <w:rFonts w:hint="eastAsia" w:asciiTheme="minorEastAsia" w:hAnsiTheme="minorEastAsia"/>
          <w:bCs/>
          <w:color w:val="auto"/>
          <w:szCs w:val="21"/>
        </w:rPr>
        <w:t>2020 年</w:t>
      </w:r>
      <w:r>
        <w:rPr>
          <w:rFonts w:hint="eastAsia" w:asciiTheme="minorEastAsia" w:hAnsiTheme="minorEastAsia"/>
          <w:bCs/>
          <w:color w:val="auto"/>
          <w:szCs w:val="21"/>
          <w:lang w:val="en-US" w:eastAsia="zh-CN"/>
        </w:rPr>
        <w:t>度和2021年1-8月一体化目标完成情况实施情况统计分析表。</w:t>
      </w:r>
      <w:r>
        <w:rPr>
          <w:rFonts w:hint="eastAsia" w:asciiTheme="minorEastAsia" w:hAnsiTheme="minorEastAsia"/>
          <w:bCs/>
          <w:color w:val="auto"/>
          <w:szCs w:val="21"/>
        </w:rPr>
        <w:t>目标全部完成。 查</w:t>
      </w:r>
      <w:r>
        <w:rPr>
          <w:rFonts w:hint="eastAsia" w:asciiTheme="minorEastAsia" w:hAnsiTheme="minorEastAsia"/>
          <w:bCs/>
          <w:color w:val="auto"/>
          <w:szCs w:val="21"/>
          <w:lang w:val="en-US" w:eastAsia="zh-CN"/>
        </w:rPr>
        <w:t>坪石选矿厂、安全环保部</w:t>
      </w:r>
      <w:r>
        <w:rPr>
          <w:rFonts w:hint="eastAsia" w:asciiTheme="minorEastAsia" w:hAnsiTheme="minorEastAsia"/>
          <w:bCs/>
          <w:color w:val="auto"/>
          <w:szCs w:val="21"/>
        </w:rPr>
        <w:t>质量目标分解、测量和考核</w:t>
      </w:r>
      <w:r>
        <w:rPr>
          <w:rFonts w:hint="eastAsia" w:asciiTheme="minorEastAsia" w:hAnsiTheme="minorEastAsia"/>
          <w:bCs/>
          <w:color w:val="auto"/>
          <w:szCs w:val="21"/>
          <w:lang w:val="en-US" w:eastAsia="zh-CN"/>
        </w:rPr>
        <w:t>要进一步完善</w:t>
      </w:r>
      <w:r>
        <w:rPr>
          <w:rFonts w:hint="eastAsia" w:asciiTheme="minorEastAsia" w:hAnsiTheme="minorEastAsia"/>
          <w:bCs/>
          <w:color w:val="auto"/>
          <w:szCs w:val="21"/>
        </w:rPr>
        <w:t>。</w:t>
      </w:r>
    </w:p>
    <w:p>
      <w:pPr>
        <w:widowControl/>
        <w:numPr>
          <w:ilvl w:val="0"/>
          <w:numId w:val="1"/>
        </w:numPr>
        <w:spacing w:line="276" w:lineRule="auto"/>
        <w:rPr>
          <w:rFonts w:asciiTheme="minorEastAsia" w:hAnsiTheme="minorEastAsia"/>
          <w:bCs/>
          <w:color w:val="auto"/>
          <w:szCs w:val="21"/>
        </w:rPr>
      </w:pPr>
      <w:r>
        <w:rPr>
          <w:rFonts w:hint="eastAsia" w:asciiTheme="minorEastAsia" w:hAnsiTheme="minorEastAsia"/>
          <w:bCs/>
          <w:color w:val="auto"/>
          <w:szCs w:val="21"/>
        </w:rPr>
        <w:t>对企业组织任何变更的审核</w:t>
      </w:r>
    </w:p>
    <w:p>
      <w:pPr>
        <w:widowControl/>
        <w:spacing w:line="276" w:lineRule="auto"/>
        <w:rPr>
          <w:rFonts w:asciiTheme="minorEastAsia" w:hAnsiTheme="minorEastAsia"/>
          <w:bCs/>
          <w:color w:val="auto"/>
          <w:szCs w:val="21"/>
        </w:rPr>
      </w:pPr>
      <w:r>
        <w:rPr>
          <w:rFonts w:hint="eastAsia" w:asciiTheme="minorEastAsia" w:hAnsiTheme="minorEastAsia"/>
          <w:bCs/>
          <w:color w:val="auto"/>
          <w:szCs w:val="21"/>
        </w:rPr>
        <w:t>企业营业执照和组织机构未发生变化。</w:t>
      </w:r>
    </w:p>
    <w:p>
      <w:pPr>
        <w:widowControl/>
        <w:numPr>
          <w:ilvl w:val="0"/>
          <w:numId w:val="1"/>
        </w:numPr>
        <w:spacing w:line="276" w:lineRule="auto"/>
        <w:rPr>
          <w:rFonts w:cs="宋体" w:asciiTheme="minorEastAsia" w:hAnsiTheme="minorEastAsia"/>
          <w:bCs/>
          <w:color w:val="auto"/>
          <w:kern w:val="0"/>
          <w:szCs w:val="21"/>
        </w:rPr>
      </w:pPr>
      <w:r>
        <w:rPr>
          <w:rFonts w:hint="eastAsia" w:asciiTheme="minorEastAsia" w:hAnsiTheme="minorEastAsia"/>
          <w:bCs/>
          <w:color w:val="auto"/>
          <w:szCs w:val="21"/>
        </w:rPr>
        <w:t>标志的使用和（或）任何其他对认证资</w:t>
      </w:r>
      <w:r>
        <w:rPr>
          <w:rFonts w:hint="eastAsia"/>
          <w:bCs/>
          <w:color w:val="auto"/>
        </w:rPr>
        <w:t>格引用</w:t>
      </w:r>
      <w:r>
        <w:rPr>
          <w:rFonts w:cs="宋体" w:asciiTheme="minorEastAsia" w:hAnsiTheme="minorEastAsia"/>
          <w:bCs/>
          <w:color w:val="auto"/>
          <w:kern w:val="0"/>
          <w:szCs w:val="21"/>
        </w:rPr>
        <w:t>的情况：</w:t>
      </w:r>
    </w:p>
    <w:p>
      <w:pPr>
        <w:widowControl/>
        <w:spacing w:line="276" w:lineRule="auto"/>
        <w:rPr>
          <w:rFonts w:cs="宋体" w:asciiTheme="minorEastAsia" w:hAnsiTheme="minorEastAsia"/>
          <w:bCs/>
          <w:color w:val="auto"/>
          <w:kern w:val="0"/>
          <w:szCs w:val="21"/>
        </w:rPr>
      </w:pPr>
      <w:r>
        <w:rPr>
          <w:rFonts w:hint="eastAsia" w:cs="宋体" w:asciiTheme="minorEastAsia" w:hAnsiTheme="minorEastAsia"/>
          <w:bCs/>
          <w:color w:val="auto"/>
          <w:kern w:val="0"/>
          <w:szCs w:val="21"/>
        </w:rPr>
        <w:t xml:space="preserve"> 用于企业的形象宣传。</w:t>
      </w:r>
    </w:p>
    <w:p>
      <w:pPr>
        <w:snapToGrid w:val="0"/>
        <w:spacing w:line="400" w:lineRule="exact"/>
        <w:ind w:right="-512" w:rightChars="-244"/>
        <w:rPr>
          <w:rFonts w:ascii="宋体" w:hAnsi="宋体" w:eastAsia="宋体" w:cs="宋体"/>
          <w:color w:val="auto"/>
          <w:kern w:val="0"/>
          <w:szCs w:val="28"/>
        </w:rPr>
      </w:pPr>
      <w:r>
        <w:rPr>
          <w:rFonts w:hint="eastAsia" w:ascii="宋体" w:hAnsi="宋体" w:eastAsia="宋体" w:cs="宋体"/>
          <w:b/>
          <w:bCs/>
          <w:color w:val="auto"/>
          <w:kern w:val="0"/>
          <w:szCs w:val="21"/>
        </w:rPr>
        <w:t>三、</w:t>
      </w:r>
      <w:r>
        <w:rPr>
          <w:rFonts w:ascii="宋体" w:hAnsi="宋体" w:eastAsia="宋体" w:cs="宋体"/>
          <w:b/>
          <w:bCs/>
          <w:color w:val="auto"/>
          <w:kern w:val="0"/>
          <w:szCs w:val="21"/>
        </w:rPr>
        <w:t>监督审核结论意见</w:t>
      </w:r>
      <w:r>
        <w:rPr>
          <w:rFonts w:ascii="宋体" w:hAnsi="宋体" w:eastAsia="宋体" w:cs="宋体"/>
          <w:bCs/>
          <w:color w:val="auto"/>
          <w:kern w:val="0"/>
          <w:szCs w:val="21"/>
        </w:rPr>
        <w:t>(</w:t>
      </w:r>
      <w:r>
        <w:rPr>
          <w:rFonts w:ascii="宋体" w:hAnsi="宋体" w:eastAsia="宋体" w:cs="宋体"/>
          <w:color w:val="auto"/>
          <w:kern w:val="0"/>
          <w:szCs w:val="21"/>
        </w:rPr>
        <w:t>含需要说</w:t>
      </w:r>
      <w:r>
        <w:rPr>
          <w:rFonts w:ascii="宋体" w:hAnsi="宋体" w:eastAsia="宋体" w:cs="宋体"/>
          <w:color w:val="auto"/>
          <w:kern w:val="0"/>
          <w:szCs w:val="28"/>
        </w:rPr>
        <w:t>明的事项):</w:t>
      </w:r>
    </w:p>
    <w:p>
      <w:pPr>
        <w:snapToGrid w:val="0"/>
        <w:spacing w:line="400" w:lineRule="exact"/>
        <w:ind w:right="-512" w:rightChars="-244" w:firstLine="420" w:firstLineChars="200"/>
        <w:rPr>
          <w:rFonts w:hint="eastAsia" w:asciiTheme="minorEastAsia" w:hAnsiTheme="minorEastAsia"/>
          <w:bCs/>
          <w:color w:val="auto"/>
          <w:szCs w:val="21"/>
        </w:rPr>
      </w:pPr>
      <w:r>
        <w:rPr>
          <w:rStyle w:val="10"/>
          <w:rFonts w:hint="eastAsia" w:ascii="宋体" w:hAnsi="宋体" w:eastAsia="宋体"/>
          <w:color w:val="auto"/>
          <w:sz w:val="21"/>
          <w:szCs w:val="21"/>
        </w:rPr>
        <w:t>通</w:t>
      </w:r>
      <w:r>
        <w:rPr>
          <w:rFonts w:hint="eastAsia" w:asciiTheme="minorEastAsia" w:hAnsiTheme="minorEastAsia"/>
          <w:bCs/>
          <w:color w:val="auto"/>
          <w:szCs w:val="21"/>
        </w:rPr>
        <w:t>过20</w:t>
      </w:r>
      <w:r>
        <w:rPr>
          <w:rFonts w:hint="eastAsia" w:asciiTheme="minorEastAsia" w:hAnsiTheme="minorEastAsia"/>
          <w:bCs/>
          <w:color w:val="auto"/>
          <w:szCs w:val="21"/>
          <w:lang w:val="en-US" w:eastAsia="zh-CN"/>
        </w:rPr>
        <w:t>21</w:t>
      </w:r>
      <w:r>
        <w:rPr>
          <w:rFonts w:hint="eastAsia" w:asciiTheme="minorEastAsia" w:hAnsiTheme="minorEastAsia"/>
          <w:bCs/>
          <w:color w:val="auto"/>
          <w:szCs w:val="21"/>
        </w:rPr>
        <w:t>年</w:t>
      </w:r>
      <w:r>
        <w:rPr>
          <w:rFonts w:hint="eastAsia" w:asciiTheme="minorEastAsia" w:hAnsiTheme="minorEastAsia"/>
          <w:bCs/>
          <w:color w:val="auto"/>
          <w:szCs w:val="21"/>
          <w:lang w:val="en-US" w:eastAsia="zh-CN"/>
        </w:rPr>
        <w:t>09</w:t>
      </w:r>
      <w:r>
        <w:rPr>
          <w:rFonts w:hint="eastAsia" w:asciiTheme="minorEastAsia" w:hAnsiTheme="minorEastAsia"/>
          <w:bCs/>
          <w:color w:val="auto"/>
          <w:szCs w:val="21"/>
        </w:rPr>
        <w:t>月</w:t>
      </w:r>
      <w:r>
        <w:rPr>
          <w:rFonts w:hint="eastAsia" w:asciiTheme="minorEastAsia" w:hAnsiTheme="minorEastAsia"/>
          <w:bCs/>
          <w:color w:val="auto"/>
          <w:szCs w:val="21"/>
          <w:lang w:val="en-US" w:eastAsia="zh-CN"/>
        </w:rPr>
        <w:t>08</w:t>
      </w:r>
      <w:r>
        <w:rPr>
          <w:rFonts w:hint="eastAsia" w:asciiTheme="minorEastAsia" w:hAnsiTheme="minorEastAsia"/>
          <w:bCs/>
          <w:color w:val="auto"/>
          <w:szCs w:val="21"/>
        </w:rPr>
        <w:t>日-</w:t>
      </w:r>
      <w:r>
        <w:rPr>
          <w:rFonts w:hint="eastAsia" w:asciiTheme="minorEastAsia" w:hAnsiTheme="minorEastAsia"/>
          <w:bCs/>
          <w:color w:val="auto"/>
          <w:szCs w:val="21"/>
          <w:lang w:val="en-US" w:eastAsia="zh-CN"/>
        </w:rPr>
        <w:t>09</w:t>
      </w:r>
      <w:r>
        <w:rPr>
          <w:rFonts w:hint="eastAsia" w:asciiTheme="minorEastAsia" w:hAnsiTheme="minorEastAsia"/>
          <w:bCs/>
          <w:color w:val="auto"/>
          <w:szCs w:val="21"/>
        </w:rPr>
        <w:t>日</w:t>
      </w:r>
      <w:r>
        <w:rPr>
          <w:rFonts w:hint="eastAsia" w:asciiTheme="minorEastAsia" w:hAnsiTheme="minorEastAsia"/>
          <w:bCs/>
          <w:color w:val="auto"/>
          <w:szCs w:val="21"/>
          <w:lang w:val="en-US" w:eastAsia="zh-CN"/>
        </w:rPr>
        <w:t>上午</w:t>
      </w:r>
      <w:r>
        <w:rPr>
          <w:rFonts w:hint="eastAsia" w:asciiTheme="minorEastAsia" w:hAnsiTheme="minorEastAsia"/>
          <w:bCs/>
          <w:color w:val="auto"/>
          <w:szCs w:val="21"/>
        </w:rPr>
        <w:t>，对宜春钽铌矿有限公司监督审核.验证了公司在去年一年内，测量管理体系运作情况，公司领导重视体系运行和管理，体系文</w:t>
      </w:r>
      <w:r>
        <w:rPr>
          <w:rFonts w:hint="eastAsia" w:ascii="宋体" w:hAnsi="宋体"/>
          <w:color w:val="auto"/>
          <w:szCs w:val="21"/>
        </w:rPr>
        <w:t>件得到有效实施，企业管理规</w:t>
      </w:r>
      <w:r>
        <w:rPr>
          <w:rFonts w:hint="eastAsia" w:asciiTheme="minorEastAsia" w:hAnsiTheme="minorEastAsia"/>
          <w:bCs/>
          <w:color w:val="auto"/>
          <w:szCs w:val="21"/>
        </w:rPr>
        <w:t>范，新增关键测量过程1项，过程受控、监视方法正确有效，重要测量人员能力受控，测量设备、测量环境、测量软件、测量记录及外部供方管理等各项工作。综上所述，审核组认为宜春钽铌矿有限公司测量管理体系，符合GB/T 19022-2003标准要求，对体系运行具有持续的有效性、符合性予以肯定。建议报请北京国标联合认证有限公司批准通过监督审核。</w:t>
      </w:r>
    </w:p>
    <w:p>
      <w:pPr>
        <w:snapToGrid w:val="0"/>
        <w:spacing w:line="400" w:lineRule="exact"/>
        <w:ind w:right="-512" w:rightChars="-244" w:firstLine="420" w:firstLineChars="200"/>
        <w:rPr>
          <w:rFonts w:hint="eastAsia" w:asciiTheme="minorEastAsia" w:hAnsiTheme="minorEastAsia"/>
          <w:bCs/>
          <w:color w:val="auto"/>
          <w:szCs w:val="21"/>
        </w:rPr>
      </w:pPr>
      <w:r>
        <w:rPr>
          <w:rFonts w:hint="eastAsia" w:asciiTheme="minorEastAsia" w:hAnsiTheme="minorEastAsia"/>
          <w:bCs/>
          <w:color w:val="auto"/>
          <w:szCs w:val="21"/>
        </w:rPr>
        <w:t>说明的事项：</w:t>
      </w:r>
    </w:p>
    <w:p>
      <w:pPr>
        <w:snapToGrid w:val="0"/>
        <w:spacing w:line="400" w:lineRule="exact"/>
        <w:ind w:right="-512" w:rightChars="-244" w:firstLine="420" w:firstLineChars="200"/>
        <w:rPr>
          <w:rFonts w:hint="eastAsia" w:asciiTheme="minorEastAsia" w:hAnsiTheme="minorEastAsia"/>
          <w:bCs/>
          <w:color w:val="auto"/>
          <w:szCs w:val="21"/>
          <w:lang w:val="en-US" w:eastAsia="zh-CN"/>
        </w:rPr>
      </w:pPr>
      <w:r>
        <w:rPr>
          <w:rFonts w:hint="eastAsia" w:asciiTheme="minorEastAsia" w:hAnsiTheme="minorEastAsia"/>
          <w:bCs/>
          <w:color w:val="auto"/>
          <w:szCs w:val="21"/>
          <w:lang w:val="en-US" w:eastAsia="zh-CN"/>
        </w:rPr>
        <w:t>本次审核共出具一般不符合项3项，未发现严重的或系统性的不符合情况。</w:t>
      </w:r>
    </w:p>
    <w:p>
      <w:pPr>
        <w:snapToGrid w:val="0"/>
        <w:spacing w:line="400" w:lineRule="exact"/>
        <w:ind w:right="-512" w:rightChars="-244" w:firstLine="420" w:firstLineChars="200"/>
        <w:rPr>
          <w:rFonts w:hint="eastAsia" w:asciiTheme="minorEastAsia" w:hAnsiTheme="minorEastAsia"/>
          <w:bCs/>
          <w:color w:val="auto"/>
          <w:szCs w:val="21"/>
          <w:lang w:val="en-US" w:eastAsia="zh-CN"/>
        </w:rPr>
      </w:pPr>
      <w:r>
        <w:rPr>
          <w:rFonts w:hint="eastAsia" w:asciiTheme="minorEastAsia" w:hAnsiTheme="minorEastAsia"/>
          <w:bCs/>
          <w:color w:val="auto"/>
          <w:szCs w:val="21"/>
          <w:lang w:val="en-US" w:eastAsia="zh-CN"/>
        </w:rPr>
        <w:t>1、在采矿场现场审核时，发现编号为VAPN14511844的测量型GNSS接收机自2020年6月购买后未进行过检定或校准。</w:t>
      </w:r>
      <w:r>
        <w:rPr>
          <w:rFonts w:hint="eastAsia" w:asciiTheme="minorEastAsia" w:hAnsiTheme="minorEastAsia"/>
          <w:bCs/>
          <w:color w:val="auto"/>
          <w:szCs w:val="21"/>
        </w:rPr>
        <w:t>不符合认证</w:t>
      </w:r>
      <w:r>
        <w:rPr>
          <w:rFonts w:hint="eastAsia" w:asciiTheme="minorEastAsia" w:hAnsiTheme="minorEastAsia"/>
          <w:bCs/>
          <w:color w:val="auto"/>
          <w:szCs w:val="21"/>
          <w:lang w:val="zh-CN"/>
        </w:rPr>
        <w:t>审核准则</w:t>
      </w:r>
      <w:r>
        <w:rPr>
          <w:rFonts w:hint="eastAsia" w:asciiTheme="minorEastAsia" w:hAnsiTheme="minorEastAsia"/>
          <w:bCs/>
          <w:color w:val="auto"/>
          <w:szCs w:val="21"/>
        </w:rPr>
        <w:t>GB/T19022-2003标准中</w:t>
      </w:r>
      <w:r>
        <w:rPr>
          <w:rFonts w:hint="eastAsia" w:asciiTheme="minorEastAsia" w:hAnsiTheme="minorEastAsia"/>
          <w:bCs/>
          <w:color w:val="auto"/>
          <w:szCs w:val="21"/>
          <w:lang w:val="en-US" w:eastAsia="zh-CN"/>
        </w:rPr>
        <w:t>7.1.1</w:t>
      </w:r>
      <w:r>
        <w:rPr>
          <w:rFonts w:hint="eastAsia" w:asciiTheme="minorEastAsia" w:hAnsiTheme="minorEastAsia"/>
          <w:bCs/>
          <w:color w:val="auto"/>
          <w:szCs w:val="21"/>
        </w:rPr>
        <w:t>条。次要不符合</w:t>
      </w:r>
      <w:r>
        <w:rPr>
          <w:rFonts w:hint="eastAsia" w:asciiTheme="minorEastAsia" w:hAnsiTheme="minorEastAsia"/>
          <w:bCs/>
          <w:color w:val="auto"/>
          <w:szCs w:val="21"/>
          <w:lang w:val="en-US" w:eastAsia="zh-CN"/>
        </w:rPr>
        <w:t>。</w:t>
      </w:r>
    </w:p>
    <w:p>
      <w:pPr>
        <w:snapToGrid w:val="0"/>
        <w:spacing w:line="400" w:lineRule="exact"/>
        <w:ind w:right="-512" w:rightChars="-244" w:firstLine="420" w:firstLineChars="200"/>
        <w:rPr>
          <w:rFonts w:hint="eastAsia" w:asciiTheme="minorEastAsia" w:hAnsiTheme="minorEastAsia"/>
          <w:bCs/>
          <w:color w:val="auto"/>
          <w:szCs w:val="21"/>
          <w:lang w:val="en-US" w:eastAsia="zh-CN"/>
        </w:rPr>
      </w:pPr>
      <w:r>
        <w:rPr>
          <w:rFonts w:hint="eastAsia" w:asciiTheme="minorEastAsia" w:hAnsiTheme="minorEastAsia"/>
          <w:bCs/>
          <w:color w:val="auto"/>
          <w:szCs w:val="21"/>
          <w:lang w:val="en-US" w:eastAsia="zh-CN"/>
        </w:rPr>
        <w:t>2、在坪石选矿厂审核时，发现测量设备管理台账存在千分尺的编号、确认间隔、检定/校准等信息没有填写。</w:t>
      </w:r>
      <w:r>
        <w:rPr>
          <w:rFonts w:hint="eastAsia" w:asciiTheme="minorEastAsia" w:hAnsiTheme="minorEastAsia"/>
          <w:bCs/>
          <w:color w:val="auto"/>
          <w:szCs w:val="21"/>
        </w:rPr>
        <w:t>不符合认证</w:t>
      </w:r>
      <w:r>
        <w:rPr>
          <w:rFonts w:hint="eastAsia" w:asciiTheme="minorEastAsia" w:hAnsiTheme="minorEastAsia"/>
          <w:bCs/>
          <w:color w:val="auto"/>
          <w:szCs w:val="21"/>
          <w:lang w:val="zh-CN"/>
        </w:rPr>
        <w:t>审核准则</w:t>
      </w:r>
      <w:r>
        <w:rPr>
          <w:rFonts w:hint="eastAsia" w:asciiTheme="minorEastAsia" w:hAnsiTheme="minorEastAsia"/>
          <w:bCs/>
          <w:color w:val="auto"/>
          <w:szCs w:val="21"/>
        </w:rPr>
        <w:t>GB/T19022-2003标准中</w:t>
      </w:r>
      <w:r>
        <w:rPr>
          <w:rFonts w:hint="eastAsia" w:asciiTheme="minorEastAsia" w:hAnsiTheme="minorEastAsia"/>
          <w:bCs/>
          <w:color w:val="auto"/>
          <w:szCs w:val="21"/>
          <w:lang w:val="en-US" w:eastAsia="zh-CN"/>
        </w:rPr>
        <w:t>6.3.1</w:t>
      </w:r>
      <w:r>
        <w:rPr>
          <w:rFonts w:hint="eastAsia" w:asciiTheme="minorEastAsia" w:hAnsiTheme="minorEastAsia"/>
          <w:bCs/>
          <w:color w:val="auto"/>
          <w:szCs w:val="21"/>
        </w:rPr>
        <w:t>条。次要不符合</w:t>
      </w:r>
      <w:r>
        <w:rPr>
          <w:rFonts w:hint="eastAsia" w:asciiTheme="minorEastAsia" w:hAnsiTheme="minorEastAsia"/>
          <w:bCs/>
          <w:color w:val="auto"/>
          <w:szCs w:val="21"/>
          <w:lang w:val="en-US" w:eastAsia="zh-CN"/>
        </w:rPr>
        <w:t>。</w:t>
      </w:r>
    </w:p>
    <w:p>
      <w:pPr>
        <w:snapToGrid w:val="0"/>
        <w:spacing w:line="400" w:lineRule="exact"/>
        <w:ind w:right="-512" w:rightChars="-244" w:firstLine="420" w:firstLineChars="200"/>
        <w:rPr>
          <w:rFonts w:hint="eastAsia" w:asciiTheme="minorEastAsia" w:hAnsiTheme="minorEastAsia"/>
          <w:bCs/>
          <w:color w:val="auto"/>
          <w:szCs w:val="21"/>
          <w:lang w:val="en-US" w:eastAsia="zh-CN"/>
        </w:rPr>
      </w:pPr>
      <w:r>
        <w:rPr>
          <w:rFonts w:hint="eastAsia" w:asciiTheme="minorEastAsia" w:hAnsiTheme="minorEastAsia"/>
          <w:bCs/>
          <w:color w:val="auto"/>
          <w:szCs w:val="21"/>
          <w:lang w:val="en-US" w:eastAsia="zh-CN"/>
        </w:rPr>
        <w:t xml:space="preserve"> 3、在生产技术部化验室现场审核时，发现光谱仪间的温湿度计没有进行检定/校准。</w:t>
      </w:r>
      <w:r>
        <w:rPr>
          <w:rFonts w:hint="eastAsia" w:asciiTheme="minorEastAsia" w:hAnsiTheme="minorEastAsia"/>
          <w:bCs/>
          <w:color w:val="auto"/>
          <w:szCs w:val="21"/>
        </w:rPr>
        <w:t>不符合认证</w:t>
      </w:r>
      <w:r>
        <w:rPr>
          <w:rFonts w:hint="eastAsia" w:asciiTheme="minorEastAsia" w:hAnsiTheme="minorEastAsia"/>
          <w:bCs/>
          <w:color w:val="auto"/>
          <w:szCs w:val="21"/>
          <w:lang w:val="zh-CN"/>
        </w:rPr>
        <w:t>审核准则</w:t>
      </w:r>
      <w:r>
        <w:rPr>
          <w:rFonts w:hint="eastAsia" w:asciiTheme="minorEastAsia" w:hAnsiTheme="minorEastAsia"/>
          <w:bCs/>
          <w:color w:val="auto"/>
          <w:szCs w:val="21"/>
        </w:rPr>
        <w:t>GB/T19022-2003标准中</w:t>
      </w:r>
      <w:r>
        <w:rPr>
          <w:rFonts w:hint="eastAsia" w:asciiTheme="minorEastAsia" w:hAnsiTheme="minorEastAsia"/>
          <w:bCs/>
          <w:color w:val="auto"/>
          <w:szCs w:val="21"/>
          <w:lang w:val="en-US" w:eastAsia="zh-CN"/>
        </w:rPr>
        <w:t>7.1.1</w:t>
      </w:r>
      <w:r>
        <w:rPr>
          <w:rFonts w:hint="eastAsia" w:asciiTheme="minorEastAsia" w:hAnsiTheme="minorEastAsia"/>
          <w:bCs/>
          <w:color w:val="auto"/>
          <w:szCs w:val="21"/>
        </w:rPr>
        <w:t>条。次要不符合</w:t>
      </w:r>
      <w:r>
        <w:rPr>
          <w:rFonts w:hint="eastAsia" w:asciiTheme="minorEastAsia" w:hAnsiTheme="minorEastAsia"/>
          <w:bCs/>
          <w:color w:val="auto"/>
          <w:szCs w:val="21"/>
          <w:lang w:val="en-US" w:eastAsia="zh-CN"/>
        </w:rPr>
        <w:t>。</w:t>
      </w:r>
    </w:p>
    <w:p>
      <w:pPr>
        <w:numPr>
          <w:ilvl w:val="0"/>
          <w:numId w:val="0"/>
        </w:numPr>
        <w:rPr>
          <w:rFonts w:hint="default" w:ascii="宋体" w:hAnsi="宋体" w:eastAsia="宋体" w:cs="Times New Roman"/>
          <w:color w:val="FF0000"/>
          <w:szCs w:val="21"/>
          <w:lang w:val="en-US" w:eastAsia="zh-CN"/>
        </w:rPr>
      </w:pPr>
    </w:p>
    <w:p>
      <w:pPr>
        <w:widowControl/>
        <w:spacing w:line="360" w:lineRule="auto"/>
        <w:jc w:val="left"/>
        <w:rPr>
          <w:rFonts w:ascii="宋体" w:hAnsi="宋体" w:cs="宋体"/>
          <w:kern w:val="0"/>
          <w:szCs w:val="21"/>
        </w:rPr>
      </w:pPr>
    </w:p>
    <w:p>
      <w:pPr>
        <w:widowControl/>
        <w:spacing w:line="360" w:lineRule="auto"/>
        <w:jc w:val="left"/>
        <w:rPr>
          <w:rFonts w:ascii="宋体" w:hAnsi="宋体" w:eastAsia="宋体" w:cs="宋体"/>
          <w:kern w:val="0"/>
          <w:szCs w:val="21"/>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hint="eastAsia" w:eastAsia="宋体"/>
          <w:color w:val="000000"/>
          <w:szCs w:val="21"/>
          <w:lang w:eastAsia="zh-CN"/>
        </w:rPr>
        <w:drawing>
          <wp:inline distT="0" distB="0" distL="114300" distR="114300">
            <wp:extent cx="822325" cy="424180"/>
            <wp:effectExtent l="0" t="0" r="635" b="2540"/>
            <wp:docPr id="4" name="图片 2" descr="郭小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郭小红"/>
                    <pic:cNvPicPr>
                      <a:picLocks noChangeAspect="1"/>
                    </pic:cNvPicPr>
                  </pic:nvPicPr>
                  <pic:blipFill>
                    <a:blip r:embed="rId6"/>
                    <a:stretch>
                      <a:fillRect/>
                    </a:stretch>
                  </pic:blipFill>
                  <pic:spPr>
                    <a:xfrm>
                      <a:off x="0" y="0"/>
                      <a:ext cx="822325" cy="424180"/>
                    </a:xfrm>
                    <a:prstGeom prst="rect">
                      <a:avLst/>
                    </a:prstGeom>
                    <a:noFill/>
                    <a:ln>
                      <a:noFill/>
                    </a:ln>
                  </pic:spPr>
                </pic:pic>
              </a:graphicData>
            </a:graphic>
          </wp:inline>
        </w:drawing>
      </w:r>
      <w:r>
        <w:rPr>
          <w:rFonts w:hint="eastAsia" w:ascii="宋体" w:hAnsi="宋体" w:eastAsia="宋体" w:cs="宋体"/>
          <w:kern w:val="0"/>
          <w:szCs w:val="21"/>
        </w:rPr>
        <w:t xml:space="preserve">                </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cs="宋体"/>
          <w:spacing w:val="-20"/>
        </w:rPr>
        <w:t>2021年09月09日</w:t>
      </w:r>
    </w:p>
    <w:p>
      <w:pPr>
        <w:widowControl/>
        <w:spacing w:line="360" w:lineRule="auto"/>
        <w:jc w:val="left"/>
        <w:rPr>
          <w:rFonts w:ascii="宋体" w:hAnsi="宋体" w:eastAsia="宋体" w:cs="宋体"/>
          <w:kern w:val="0"/>
          <w:szCs w:val="21"/>
        </w:rPr>
      </w:pPr>
    </w:p>
    <w:p>
      <w:pPr>
        <w:widowControl/>
        <w:spacing w:line="360" w:lineRule="auto"/>
        <w:jc w:val="left"/>
        <w:rPr>
          <w:rFonts w:ascii="宋体" w:hAnsi="宋体" w:eastAsia="宋体" w:cs="宋体"/>
          <w:color w:val="000000"/>
          <w:kern w:val="0"/>
          <w:szCs w:val="21"/>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hint="default" w:eastAsia="宋体"/>
          <w:color w:val="000000"/>
          <w:szCs w:val="21"/>
          <w:lang w:val="en-US" w:eastAsia="zh-CN"/>
        </w:rPr>
        <w:drawing>
          <wp:inline distT="0" distB="0" distL="114300" distR="114300">
            <wp:extent cx="571500" cy="445135"/>
            <wp:effectExtent l="0" t="0" r="7620" b="12065"/>
            <wp:docPr id="1" name="图片 1" descr="周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周彤"/>
                    <pic:cNvPicPr>
                      <a:picLocks noChangeAspect="1"/>
                    </pic:cNvPicPr>
                  </pic:nvPicPr>
                  <pic:blipFill>
                    <a:blip r:embed="rId7"/>
                    <a:stretch>
                      <a:fillRect/>
                    </a:stretch>
                  </pic:blipFill>
                  <pic:spPr>
                    <a:xfrm>
                      <a:off x="0" y="0"/>
                      <a:ext cx="571500" cy="445135"/>
                    </a:xfrm>
                    <a:prstGeom prst="rect">
                      <a:avLst/>
                    </a:prstGeom>
                    <a:noFill/>
                    <a:ln>
                      <a:noFill/>
                    </a:ln>
                  </pic:spPr>
                </pic:pic>
              </a:graphicData>
            </a:graphic>
          </wp:inline>
        </w:drawing>
      </w:r>
      <w:r>
        <w:rPr>
          <w:rFonts w:hint="eastAsia" w:eastAsia="宋体"/>
          <w:color w:val="000000"/>
          <w:szCs w:val="21"/>
          <w:lang w:val="en-US" w:eastAsia="zh-CN"/>
        </w:rPr>
        <w:t xml:space="preserve">   </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 xml:space="preserve"> </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rPr>
        <w:t xml:space="preserve"> </w:t>
      </w:r>
      <w:r>
        <w:rPr>
          <w:rFonts w:hint="eastAsia" w:ascii="宋体" w:hAnsi="宋体" w:cs="宋体"/>
          <w:spacing w:val="-20"/>
        </w:rPr>
        <w:t>2021年09月09日</w:t>
      </w:r>
      <w:r>
        <w:rPr>
          <w:rFonts w:hint="eastAsia" w:ascii="宋体" w:hAnsi="宋体" w:eastAsia="宋体" w:cs="宋体"/>
          <w:color w:val="000000"/>
          <w:kern w:val="0"/>
          <w:szCs w:val="21"/>
        </w:rPr>
        <w:t xml:space="preserve"> </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D360AD"/>
    <w:multiLevelType w:val="singleLevel"/>
    <w:tmpl w:val="30D360AD"/>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305CE6"/>
    <w:rsid w:val="01874FB5"/>
    <w:rsid w:val="03906167"/>
    <w:rsid w:val="19D03EE8"/>
    <w:rsid w:val="1CAB05ED"/>
    <w:rsid w:val="2CB84ECC"/>
    <w:rsid w:val="2D1C4A74"/>
    <w:rsid w:val="316C1A29"/>
    <w:rsid w:val="3C9C4891"/>
    <w:rsid w:val="44F6635C"/>
    <w:rsid w:val="558C2957"/>
    <w:rsid w:val="59EF3E45"/>
    <w:rsid w:val="5BC261E0"/>
    <w:rsid w:val="5D5F743D"/>
    <w:rsid w:val="5F911387"/>
    <w:rsid w:val="62A244C9"/>
    <w:rsid w:val="6B313FBB"/>
    <w:rsid w:val="76FF747F"/>
    <w:rsid w:val="785B690C"/>
    <w:rsid w:val="7B7A5E9D"/>
    <w:rsid w:val="7DC652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2</TotalTime>
  <ScaleCrop>false</ScaleCrop>
  <LinksUpToDate>false</LinksUpToDate>
  <CharactersWithSpaces>2163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ZengFmaily</cp:lastModifiedBy>
  <cp:lastPrinted>2017-09-01T06:24:00Z</cp:lastPrinted>
  <dcterms:modified xsi:type="dcterms:W3CDTF">2021-09-26T06:41:21Z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9250B1C7E8A64A0BBD0A5253D141D03A</vt:lpwstr>
  </property>
</Properties>
</file>