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  <w:szCs w:val="32"/>
        </w:rPr>
        <w:t>：</w:t>
      </w:r>
      <w:bookmarkStart w:id="1" w:name="组织名称"/>
      <w:r>
        <w:rPr>
          <w:rFonts w:hint="eastAsia" w:ascii="宋体" w:hAnsi="宋体"/>
          <w:sz w:val="32"/>
          <w:szCs w:val="32"/>
          <w:u w:val="single"/>
        </w:rPr>
        <w:t>江苏省镔鑫钢铁集团有限公司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</w:t>
      </w:r>
      <w:r>
        <w:rPr>
          <w:rFonts w:hint="eastAsia" w:ascii="宋体" w:hAnsi="宋体"/>
          <w:sz w:val="32"/>
          <w:lang w:val="en-US" w:eastAsia="zh-CN"/>
        </w:rPr>
        <w:t>88</w:t>
      </w:r>
      <w:r>
        <w:rPr>
          <w:rFonts w:hint="eastAsia" w:ascii="宋体" w:hAnsi="宋体"/>
          <w:sz w:val="32"/>
        </w:rPr>
        <w:t>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spacing w:line="360" w:lineRule="auto"/>
        <w:jc w:val="left"/>
        <w:rPr>
          <w:rFonts w:ascii="宋体" w:hAnsi="宋体"/>
          <w:sz w:val="32"/>
        </w:rPr>
      </w:pP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24"/>
          <w:szCs w:val="24"/>
          <w:u w:val="single"/>
        </w:rPr>
        <w:t>00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u w:val="single"/>
          <w:lang w:val="en-US" w:eastAsia="zh-CN"/>
        </w:rPr>
        <w:t>88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u w:val="single"/>
        </w:rPr>
        <w:t>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44"/>
        <w:gridCol w:w="166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江苏省镔鑫钢铁集团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有限公司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310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4" w:name="联系人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吴建中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认证证书编号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bookmarkStart w:id="5" w:name="证书编号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ISC-2017-0173</w:t>
            </w:r>
            <w:bookmarkEnd w:id="5"/>
          </w:p>
        </w:tc>
        <w:tc>
          <w:tcPr>
            <w:tcW w:w="166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证书有效期</w:t>
            </w:r>
          </w:p>
        </w:tc>
        <w:tc>
          <w:tcPr>
            <w:tcW w:w="310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bookmarkStart w:id="6" w:name="证书有效期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2022-11-19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监督审核次数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7" w:name="监督次数"/>
            <w:bookmarkEnd w:id="7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次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本次监督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  <w:t>时间</w:t>
            </w:r>
          </w:p>
        </w:tc>
        <w:tc>
          <w:tcPr>
            <w:tcW w:w="310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2021年9月2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日上午～2021年9月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监督审核员姓名及确认号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ISC[S]0297</w:t>
            </w:r>
          </w:p>
        </w:tc>
        <w:tc>
          <w:tcPr>
            <w:tcW w:w="166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监督审核涉及的区域或部门</w:t>
            </w:r>
          </w:p>
        </w:tc>
        <w:tc>
          <w:tcPr>
            <w:tcW w:w="31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计量质检部、设备部、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人力资源部、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生产技术部、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安环部、能源管理中心、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仓储中心、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炼钢厂、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轧钢厂、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高线厂、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eastAsia="zh-CN"/>
              </w:rPr>
              <w:t>物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原料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采购部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销售部、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炼铁厂、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烧结厂、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原料加工厂、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制氧厂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，公司日常运行中生产经营平稳，企业未有违反法律、法规问题和产品质量问题的投诉或重大质量事故发生。企业营业执照等资质未发生变化。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</w:t>
      </w:r>
      <w:r>
        <w:rPr>
          <w:rFonts w:hint="eastAsia" w:ascii="Times New Roman" w:hAnsi="Times New Roman" w:eastAsia="宋体" w:cs="Times New Roman"/>
          <w:color w:val="auto"/>
          <w:kern w:val="24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为有效评价</w:t>
      </w:r>
      <w:r>
        <w:rPr>
          <w:rFonts w:hint="eastAsia" w:ascii="宋体" w:hAnsi="宋体"/>
          <w:sz w:val="21"/>
          <w:szCs w:val="21"/>
          <w:u w:val="none"/>
        </w:rPr>
        <w:t>江苏省镔鑫钢铁集团有限公司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管理体系内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16个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职能部门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2.1内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部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审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核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情况：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202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20 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202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23 日单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独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组织了测量管理体系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内审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，对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个部门进行了全要素审核，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内审中发现了1个不符合项，查纠正（预防）措施表表明，经验证不符合项纠正措施有效，已完成整改，不符合项关闭。</w:t>
      </w:r>
      <w:r>
        <w:rPr>
          <w:rFonts w:hint="default" w:ascii="Times New Roman" w:hAnsi="Times New Roman" w:eastAsia="宋体" w:cs="Times New Roman"/>
          <w:szCs w:val="21"/>
        </w:rPr>
        <w:t>通过内审，企业对测量管理体系运行情况进行检查和审核，达到了发现问题及时解决问题的目的，效果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良</w:t>
      </w:r>
      <w:r>
        <w:rPr>
          <w:rFonts w:hint="default" w:ascii="Times New Roman" w:hAnsi="Times New Roman" w:eastAsia="宋体" w:cs="Times New Roman"/>
          <w:szCs w:val="21"/>
        </w:rPr>
        <w:t>好。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内审结论为：管理层、各相关厂部的日常运行与管理基本符合GB/T19022-2003以及公司测量管理体系相关文件的要求与规定并取得了良好效果。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20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Cs w:val="21"/>
        </w:rPr>
        <w:t>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管理者代表吴建中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szCs w:val="21"/>
        </w:rPr>
        <w:t>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8" w:name="_Hlk38483287"/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从公司实际出发提出了两项持续改进建议，确定了具体的整改要求，明确了具体的责任部门及到位时间。</w:t>
      </w:r>
      <w:bookmarkEnd w:id="8"/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公司测量管理体系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适宜、充分和有效，</w:t>
      </w:r>
      <w:r>
        <w:rPr>
          <w:rFonts w:hint="default" w:ascii="Times New Roman" w:hAnsi="Times New Roman" w:eastAsia="宋体" w:cs="Times New Roman"/>
          <w:szCs w:val="21"/>
        </w:rPr>
        <w:t>符合GB/T 19022-2003标准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企业</w:t>
      </w:r>
      <w:bookmarkStart w:id="9" w:name="_Hlk61528753"/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无新增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</w:t>
      </w:r>
      <w:bookmarkEnd w:id="9"/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对每个不同大类的测量过程予以识别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和有效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控制。企业已对关键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抗拉强度检测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焦炭进厂称重测量过程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计量要求导出方法正确，验证满足测量过程要求。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《计量要求导出及验证记录表》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测量不确定评定：查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抗拉强度检测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、“焦炭进厂称重测量过程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不确定度评定方法正确</w:t>
      </w:r>
      <w:r>
        <w:rPr>
          <w:rFonts w:hint="default" w:ascii="Times New Roman" w:hAnsi="Times New Roman" w:eastAsia="宋体" w:cs="Times New Roman"/>
          <w:color w:val="auto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</w:t>
      </w:r>
      <w:r>
        <w:rPr>
          <w:rFonts w:hint="eastAsia"/>
          <w:color w:val="auto"/>
          <w:highlight w:val="none"/>
        </w:rPr>
        <w:t>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抗拉强度检测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焦炭进厂称重测量过程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</w:rPr>
        <w:t>采用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</w:rPr>
        <w:t>进行有效性确认，满足要求。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抗拉强度检测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焦炭进厂称重测量过程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</w:rPr>
        <w:t>编制了控制规范，对测量人员、测量设备、测量环境进行控制，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抗拉强度检测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焦炭进厂称重测量过程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采用统计技术进行控制和监视测量过程。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789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台测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量设备纳入测量管理体系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进行管理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企业建立了包括“二等铂电阻温度计标准装置”在内的四个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委外到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机构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进行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：“</w:t>
      </w:r>
      <w:r>
        <w:rPr>
          <w:rFonts w:hint="eastAsia" w:cs="Times New Roman" w:asciiTheme="majorEastAsia" w:hAnsiTheme="majorEastAsia" w:eastAsiaTheme="majorEastAsia"/>
          <w:sz w:val="21"/>
          <w:szCs w:val="21"/>
        </w:rPr>
        <w:t>连云港市赣榆区综合检验检测中</w:t>
      </w:r>
      <w:r>
        <w:rPr>
          <w:rFonts w:hint="eastAsia" w:cs="Times New Roman" w:asciiTheme="majorEastAsia" w:hAnsiTheme="majorEastAsia" w:eastAsiaTheme="majorEastAsia"/>
          <w:color w:val="auto"/>
          <w:sz w:val="21"/>
          <w:szCs w:val="21"/>
        </w:rPr>
        <w:t>心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”，</w:t>
      </w:r>
      <w:r>
        <w:rPr>
          <w:rFonts w:hAnsi="宋体"/>
          <w:color w:val="auto"/>
          <w:sz w:val="21"/>
          <w:szCs w:val="21"/>
        </w:rPr>
        <w:t>计量</w:t>
      </w:r>
      <w:r>
        <w:rPr>
          <w:rFonts w:hAnsi="宋体"/>
          <w:sz w:val="21"/>
          <w:szCs w:val="21"/>
        </w:rPr>
        <w:t>授权证书号：（苏）法计（</w:t>
      </w:r>
      <w:r>
        <w:rPr>
          <w:sz w:val="21"/>
          <w:szCs w:val="21"/>
        </w:rPr>
        <w:t>2020</w:t>
      </w:r>
      <w:r>
        <w:rPr>
          <w:rFonts w:hAnsi="宋体"/>
          <w:sz w:val="21"/>
          <w:szCs w:val="21"/>
        </w:rPr>
        <w:t>）</w:t>
      </w:r>
      <w:r>
        <w:rPr>
          <w:sz w:val="21"/>
          <w:szCs w:val="21"/>
        </w:rPr>
        <w:t>10072</w:t>
      </w:r>
      <w:r>
        <w:rPr>
          <w:rFonts w:hAnsi="宋体"/>
          <w:sz w:val="21"/>
          <w:szCs w:val="21"/>
        </w:rPr>
        <w:t>号</w:t>
      </w:r>
      <w:r>
        <w:rPr>
          <w:rFonts w:hint="eastAsia" w:hAnsi="宋体"/>
          <w:sz w:val="21"/>
          <w:szCs w:val="21"/>
          <w:lang w:eastAsia="zh-CN"/>
        </w:rPr>
        <w:t>；“</w:t>
      </w:r>
      <w:r>
        <w:rPr>
          <w:rFonts w:hAnsi="宋体"/>
          <w:szCs w:val="21"/>
        </w:rPr>
        <w:t>连云港市计量检定测试中心</w:t>
      </w:r>
      <w:r>
        <w:rPr>
          <w:rFonts w:hint="eastAsia" w:hAnsi="宋体"/>
          <w:szCs w:val="21"/>
          <w:lang w:eastAsia="zh-CN"/>
        </w:rPr>
        <w:t>”</w:t>
      </w:r>
      <w:r>
        <w:rPr>
          <w:rFonts w:hAnsi="宋体"/>
          <w:szCs w:val="21"/>
        </w:rPr>
        <w:t>，计量授权证书号：（苏）法计（</w:t>
      </w:r>
      <w:r>
        <w:rPr>
          <w:szCs w:val="21"/>
        </w:rPr>
        <w:t>2019</w:t>
      </w:r>
      <w:r>
        <w:rPr>
          <w:rFonts w:hAnsi="宋体"/>
          <w:szCs w:val="21"/>
        </w:rPr>
        <w:t>）</w:t>
      </w:r>
      <w:r>
        <w:rPr>
          <w:szCs w:val="21"/>
        </w:rPr>
        <w:t>1007</w:t>
      </w:r>
      <w:r>
        <w:rPr>
          <w:rFonts w:hAnsi="宋体"/>
          <w:szCs w:val="21"/>
        </w:rPr>
        <w:t>号</w:t>
      </w:r>
      <w:r>
        <w:rPr>
          <w:rFonts w:hint="eastAsia" w:hAnsi="宋体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抽查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，溯源满足要求。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Cs w:val="21"/>
        </w:rPr>
        <w:t>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</w:rPr>
        <w:t>查表》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/>
          <w:color w:val="auto"/>
          <w:szCs w:val="21"/>
          <w:lang w:val="en-US" w:eastAsia="zh-CN"/>
        </w:rPr>
        <w:t>273.1221万吨标煤</w:t>
      </w:r>
      <w:r>
        <w:rPr>
          <w:rFonts w:hint="eastAsia" w:ascii="宋体" w:hAnsi="宋体" w:eastAsia="宋体"/>
          <w:bCs/>
          <w:color w:val="auto"/>
          <w:szCs w:val="21"/>
        </w:rPr>
        <w:t>。</w:t>
      </w:r>
      <w:r>
        <w:rPr>
          <w:rFonts w:hint="eastAsia" w:ascii="宋体" w:hAnsi="宋体" w:eastAsia="宋体"/>
          <w:b w:val="0"/>
          <w:bCs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重点耗能单位，</w:t>
      </w:r>
      <w:r>
        <w:rPr>
          <w:rFonts w:hint="eastAsia" w:ascii="宋体" w:hAnsi="宋体"/>
          <w:bCs/>
          <w:color w:val="auto"/>
          <w:szCs w:val="21"/>
        </w:rPr>
        <w:t>企业消耗能源主要有</w:t>
      </w:r>
      <w:r>
        <w:rPr>
          <w:rFonts w:hint="eastAsia" w:ascii="宋体" w:hAnsi="宋体"/>
          <w:bCs/>
          <w:color w:val="0000FF"/>
          <w:szCs w:val="21"/>
        </w:rPr>
        <w:t>：</w:t>
      </w:r>
      <w:r>
        <w:rPr>
          <w:rFonts w:hint="eastAsia" w:ascii="宋体" w:hAnsi="宋体"/>
          <w:bCs/>
          <w:color w:val="auto"/>
          <w:szCs w:val="21"/>
        </w:rPr>
        <w:t>煤炭、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焦炭、焦粉、</w:t>
      </w:r>
      <w:r>
        <w:rPr>
          <w:rFonts w:hint="eastAsia" w:ascii="宋体" w:hAnsi="宋体"/>
          <w:bCs/>
          <w:color w:val="auto"/>
          <w:szCs w:val="21"/>
        </w:rPr>
        <w:t xml:space="preserve">水、电 </w:t>
      </w:r>
      <w:r>
        <w:rPr>
          <w:rFonts w:hint="eastAsia" w:ascii="宋体" w:hAnsi="宋体"/>
          <w:bCs/>
          <w:color w:val="auto"/>
          <w:szCs w:val="21"/>
          <w:lang w:eastAsia="zh-CN"/>
        </w:rPr>
        <w:t>、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柴油等。</w:t>
      </w:r>
      <w:r>
        <w:rPr>
          <w:rFonts w:hint="eastAsia" w:ascii="宋体" w:hAnsi="宋体" w:eastAsia="宋体"/>
          <w:bCs/>
          <w:color w:val="auto"/>
          <w:szCs w:val="21"/>
        </w:rPr>
        <w:t xml:space="preserve">企业建立了能源管理网络图和能源测量设备明细表，能源测量设备配备率满足要求。进出用能单位，应配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15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15</w:t>
      </w:r>
      <w:r>
        <w:rPr>
          <w:rFonts w:hint="eastAsia" w:ascii="宋体" w:hAnsi="宋体" w:eastAsia="宋体"/>
          <w:bCs/>
          <w:color w:val="auto"/>
          <w:szCs w:val="21"/>
        </w:rPr>
        <w:t>台（件）；进出主要次级用能单位应配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测量设备</w:t>
      </w:r>
      <w:r>
        <w:rPr>
          <w:rFonts w:hint="eastAsia" w:ascii="宋体" w:hAnsi="宋体" w:eastAsia="宋体"/>
          <w:bCs/>
          <w:color w:val="auto"/>
          <w:szCs w:val="21"/>
        </w:rPr>
        <w:t xml:space="preserve">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184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184</w:t>
      </w:r>
      <w:r>
        <w:rPr>
          <w:rFonts w:hint="eastAsia" w:ascii="宋体" w:hAnsi="宋体" w:eastAsia="宋体"/>
          <w:bCs/>
          <w:color w:val="auto"/>
          <w:szCs w:val="21"/>
        </w:rPr>
        <w:t>台（件）</w:t>
      </w:r>
      <w:r>
        <w:rPr>
          <w:rFonts w:hint="eastAsia" w:ascii="宋体" w:hAnsi="宋体" w:eastAsia="宋体"/>
          <w:bCs/>
          <w:color w:val="0070C0"/>
          <w:szCs w:val="21"/>
        </w:rPr>
        <w:t>；</w:t>
      </w:r>
      <w:r>
        <w:rPr>
          <w:rFonts w:hint="eastAsia" w:ascii="宋体" w:hAnsi="宋体" w:eastAsia="宋体"/>
          <w:bCs/>
          <w:color w:val="auto"/>
          <w:szCs w:val="21"/>
        </w:rPr>
        <w:t>进出主要用能设备（单元）应配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测量设备</w:t>
      </w:r>
      <w:r>
        <w:rPr>
          <w:rFonts w:hint="eastAsia" w:ascii="宋体" w:hAnsi="宋体" w:eastAsia="宋体"/>
          <w:bCs/>
          <w:color w:val="auto"/>
          <w:szCs w:val="21"/>
        </w:rPr>
        <w:t xml:space="preserve">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593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593</w:t>
      </w:r>
      <w:r>
        <w:rPr>
          <w:rFonts w:hint="eastAsia" w:ascii="宋体" w:hAnsi="宋体" w:eastAsia="宋体"/>
          <w:bCs/>
          <w:color w:val="auto"/>
          <w:szCs w:val="21"/>
        </w:rPr>
        <w:t>台（件）；抽查测量设备配备率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100%，</w:t>
      </w:r>
      <w:r>
        <w:rPr>
          <w:rFonts w:hint="eastAsia" w:ascii="宋体" w:hAnsi="宋体" w:eastAsia="宋体"/>
          <w:bCs/>
          <w:color w:val="auto"/>
          <w:szCs w:val="21"/>
        </w:rPr>
        <w:t>满足要求，查测量设备检定/校准证书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台件，经过检定/校准，测量设备检定和精度等级满足要求。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企业能源计量管理部门对能源计量数据采用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PCS90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00能源管控系统进行数据监视并自动生成报表</w:t>
      </w:r>
      <w:r>
        <w:rPr>
          <w:rFonts w:hint="eastAsia" w:ascii="宋体" w:hAnsi="宋体" w:eastAsia="宋体"/>
          <w:bCs/>
          <w:color w:val="auto"/>
          <w:szCs w:val="21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平衡、分析和考核均为人工计算分析。配备的测量设备的测量数据和上报报表测量数据一致，查《2020年度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能耗专项监察自查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报告》、《2020年度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能源利用状况表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》及《能源计量器具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台账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》，配备的测量设备的测量数据和上报报表测量数据一致。企业建立了能源统计报表制度，实现了能源计量数据的网络化管理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/>
          <w:bCs/>
          <w:color w:val="auto"/>
          <w:szCs w:val="21"/>
        </w:rPr>
        <w:t>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查20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监督审核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出具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了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个次要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不符合项报告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Cs w:val="21"/>
        </w:rPr>
        <w:t>查</w:t>
      </w:r>
      <w:r>
        <w:rPr>
          <w:rFonts w:hint="eastAsia" w:ascii="宋体" w:hAnsi="宋体" w:cs="宋体"/>
          <w:b w:val="0"/>
          <w:bCs w:val="0"/>
          <w:color w:val="auto"/>
          <w:szCs w:val="21"/>
          <w:lang w:val="en-US" w:eastAsia="zh-CN"/>
        </w:rPr>
        <w:t>计量质检部的编号为A20-091401的“重量偏差原始记录”，没有审核人员的签字，不符合7.2.4(a)测量过程的记录要求。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lang w:val="en-US" w:eastAsia="zh-CN"/>
        </w:rPr>
        <w:t>（2）查安环部，没有按照外部供方管理要求，对服务方“江苏恒正检测技术有限公司”的检测能力、服务质量进行评价，并记录保存评价结果。不符合“6.4外部供方“”的要求。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上述2个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不符合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了纠正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审核组对纠正整改的见证性资料进行了验证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，确认企业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的纠正措施已得到落实，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不合格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控制有效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符合要求，</w:t>
      </w:r>
      <w:r>
        <w:rPr>
          <w:rFonts w:hint="eastAsia" w:ascii="宋体" w:hAnsi="宋体" w:eastAsia="宋体" w:cs="宋体"/>
          <w:color w:val="auto"/>
          <w:szCs w:val="21"/>
        </w:rPr>
        <w:t>同意关闭不符合项。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部顾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客满意度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总计达到99.5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%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整体顾客评价结果为4.5分，结果为优秀。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有顾客的投诉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未有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公司制定了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Cs w:val="21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～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3季度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质量目标完成情况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检查表，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各项质量目标均已达到要求。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7.3</w:t>
      </w:r>
      <w:r>
        <w:rPr>
          <w:rFonts w:hAnsi="宋体"/>
          <w:color w:val="auto"/>
          <w:szCs w:val="21"/>
        </w:rPr>
        <w:t>查</w:t>
      </w:r>
      <w:r>
        <w:rPr>
          <w:szCs w:val="21"/>
        </w:rPr>
        <w:t>2021</w:t>
      </w:r>
      <w:r>
        <w:rPr>
          <w:rFonts w:hAnsi="宋体"/>
          <w:szCs w:val="21"/>
        </w:rPr>
        <w:t>年</w:t>
      </w:r>
      <w:r>
        <w:rPr>
          <w:szCs w:val="21"/>
        </w:rPr>
        <w:t>“</w:t>
      </w:r>
      <w:r>
        <w:rPr>
          <w:rFonts w:hAnsi="宋体"/>
          <w:szCs w:val="21"/>
        </w:rPr>
        <w:t>测量设备合格供方的清单</w:t>
      </w:r>
      <w:r>
        <w:rPr>
          <w:szCs w:val="21"/>
        </w:rPr>
        <w:t>”</w:t>
      </w:r>
      <w:r>
        <w:rPr>
          <w:rFonts w:hAnsi="宋体"/>
          <w:szCs w:val="21"/>
        </w:rPr>
        <w:t>，共有</w:t>
      </w:r>
      <w:r>
        <w:rPr>
          <w:szCs w:val="21"/>
        </w:rPr>
        <w:t xml:space="preserve"> 5</w:t>
      </w:r>
      <w:r>
        <w:rPr>
          <w:rFonts w:hint="eastAsia"/>
          <w:szCs w:val="21"/>
          <w:lang w:val="en-US" w:eastAsia="zh-CN"/>
        </w:rPr>
        <w:t>家</w:t>
      </w:r>
      <w:r>
        <w:rPr>
          <w:rFonts w:hAnsi="宋体"/>
          <w:szCs w:val="21"/>
        </w:rPr>
        <w:t>合格供方，</w:t>
      </w:r>
      <w:r>
        <w:rPr>
          <w:rFonts w:hint="eastAsia" w:hAnsi="宋体"/>
          <w:szCs w:val="21"/>
          <w:lang w:val="en-US" w:eastAsia="zh-CN"/>
        </w:rPr>
        <w:t>每</w:t>
      </w:r>
      <w:r>
        <w:rPr>
          <w:rFonts w:hAnsi="宋体"/>
          <w:szCs w:val="21"/>
        </w:rPr>
        <w:t>年对</w:t>
      </w:r>
      <w:r>
        <w:rPr>
          <w:rFonts w:hint="eastAsia" w:hAnsi="宋体"/>
          <w:szCs w:val="21"/>
          <w:lang w:val="en-US" w:eastAsia="zh-CN"/>
        </w:rPr>
        <w:t>各个</w:t>
      </w:r>
      <w:r>
        <w:rPr>
          <w:rFonts w:hAnsi="宋体"/>
          <w:szCs w:val="21"/>
        </w:rPr>
        <w:t>供方进行评价，查</w:t>
      </w:r>
      <w:r>
        <w:rPr>
          <w:szCs w:val="21"/>
        </w:rPr>
        <w:t>“</w:t>
      </w:r>
      <w:r>
        <w:rPr>
          <w:rFonts w:hAnsi="宋体"/>
          <w:szCs w:val="21"/>
        </w:rPr>
        <w:t>合格供方调查、评价表</w:t>
      </w:r>
      <w:r>
        <w:rPr>
          <w:szCs w:val="21"/>
        </w:rPr>
        <w:t>”</w:t>
      </w:r>
      <w:r>
        <w:rPr>
          <w:rFonts w:hAnsi="宋体"/>
          <w:szCs w:val="21"/>
        </w:rPr>
        <w:t>，对平潭津力电子科技有限公司（主供产品：电气、仪表），进行了评价，经计量质检部、管代进行综合评价为合格供方，产品满足企业要求。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hAnsi="宋体"/>
          <w:szCs w:val="21"/>
          <w:lang w:eastAsia="zh-CN"/>
        </w:rPr>
      </w:pPr>
      <w:r>
        <w:rPr>
          <w:rFonts w:hAnsi="宋体"/>
          <w:szCs w:val="21"/>
        </w:rPr>
        <w:t>查</w:t>
      </w:r>
      <w:r>
        <w:rPr>
          <w:rFonts w:hint="eastAsia" w:hAnsi="宋体"/>
          <w:szCs w:val="21"/>
          <w:lang w:val="en-US" w:eastAsia="zh-CN"/>
        </w:rPr>
        <w:t>检定校准</w:t>
      </w:r>
      <w:r>
        <w:rPr>
          <w:szCs w:val="21"/>
        </w:rPr>
        <w:t>“</w:t>
      </w:r>
      <w:r>
        <w:rPr>
          <w:rFonts w:hAnsi="宋体"/>
          <w:szCs w:val="21"/>
        </w:rPr>
        <w:t>合格服务方调查、评价表</w:t>
      </w:r>
      <w:r>
        <w:rPr>
          <w:szCs w:val="21"/>
        </w:rPr>
        <w:t>”2</w:t>
      </w:r>
      <w:r>
        <w:rPr>
          <w:rFonts w:hAnsi="宋体"/>
          <w:szCs w:val="21"/>
        </w:rPr>
        <w:t>份，已对合格检定机构</w:t>
      </w:r>
      <w:r>
        <w:rPr>
          <w:rFonts w:hint="eastAsia" w:hAnsi="宋体"/>
          <w:szCs w:val="21"/>
          <w:lang w:eastAsia="zh-CN"/>
        </w:rPr>
        <w:t>“</w:t>
      </w:r>
      <w:r>
        <w:rPr>
          <w:rFonts w:hAnsi="宋体"/>
          <w:szCs w:val="21"/>
        </w:rPr>
        <w:t>连云港市赣榆区综合检验检测中心</w:t>
      </w:r>
      <w:r>
        <w:rPr>
          <w:rFonts w:hint="eastAsia" w:hAnsi="宋体"/>
          <w:szCs w:val="21"/>
          <w:lang w:eastAsia="zh-CN"/>
        </w:rPr>
        <w:t>”、“</w:t>
      </w:r>
      <w:r>
        <w:rPr>
          <w:rFonts w:hAnsi="宋体"/>
          <w:szCs w:val="21"/>
        </w:rPr>
        <w:t>连云港市计量检定测试中心</w:t>
      </w:r>
      <w:r>
        <w:rPr>
          <w:rFonts w:hint="eastAsia" w:hAnsi="宋体"/>
          <w:szCs w:val="21"/>
          <w:lang w:eastAsia="zh-CN"/>
        </w:rPr>
        <w:t>”</w:t>
      </w:r>
      <w:r>
        <w:rPr>
          <w:rFonts w:hAnsi="宋体"/>
          <w:szCs w:val="21"/>
        </w:rPr>
        <w:t>提供的服务进行评价和监视，符合要求</w:t>
      </w:r>
      <w:r>
        <w:rPr>
          <w:rFonts w:hint="eastAsia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hAnsi="宋体"/>
          <w:color w:val="auto"/>
          <w:szCs w:val="21"/>
          <w:lang w:val="en-US" w:eastAsia="zh-CN"/>
        </w:rPr>
      </w:pPr>
      <w:r>
        <w:rPr>
          <w:rFonts w:hint="eastAsia" w:hAnsi="宋体"/>
          <w:color w:val="auto"/>
          <w:szCs w:val="21"/>
          <w:lang w:val="en-US" w:eastAsia="zh-CN"/>
        </w:rPr>
        <w:t>查编号BX-4-CG-21《 2021年度合格供应商名单》,原材物料的外部合格供方共21家，企业对外部供方有评价，对合格供方进行动态管理，</w:t>
      </w:r>
      <w:r>
        <w:rPr>
          <w:rFonts w:hint="eastAsia" w:hAnsi="宋体"/>
          <w:color w:val="auto"/>
          <w:szCs w:val="21"/>
          <w:lang w:val="en-US" w:eastAsia="zh-CN"/>
        </w:rPr>
        <w:t>有供方提供的产品和服务记录。查《供应商业绩评定表》，查对外部供方“济南麦哈勃冶金技术开发有限公司”的评价和监视记录，产品满足企业要求。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企业营业执照和组织机构未发生变化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没有产品的增加。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08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宋体" w:hAnsi="宋体" w:cs="宋体"/>
          <w:color w:val="auto"/>
          <w:kern w:val="0"/>
          <w:szCs w:val="21"/>
        </w:rPr>
        <w:t>查设备部“智能压力校验仪”检定证书有效期至202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Cs w:val="21"/>
        </w:rPr>
        <w:t>年7月11日，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经确认</w:t>
      </w:r>
      <w:r>
        <w:rPr>
          <w:rFonts w:hint="eastAsia" w:ascii="宋体" w:hAnsi="宋体" w:cs="宋体"/>
          <w:color w:val="auto"/>
          <w:kern w:val="0"/>
          <w:szCs w:val="21"/>
        </w:rPr>
        <w:t>未送检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符合认证审核准则条款 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3.2溯源性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”的要求。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5日上午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26日下午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</w:t>
      </w:r>
      <w:r>
        <w:rPr>
          <w:rFonts w:hint="eastAsia" w:ascii="宋体" w:hAnsi="宋体"/>
          <w:sz w:val="21"/>
          <w:szCs w:val="21"/>
          <w:u w:val="none"/>
        </w:rPr>
        <w:t>江苏省镔鑫钢铁集团有限公司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得到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持续监控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、测量记录管理等各项工作，比上一年度更加完善和规范，公司测量体系持续满足顾客的测量要求。综上所述，审核组认为，</w:t>
      </w:r>
      <w:r>
        <w:rPr>
          <w:rFonts w:cs="宋体" w:asciiTheme="minorEastAsia" w:hAnsiTheme="minorEastAsia"/>
          <w:kern w:val="0"/>
          <w:szCs w:val="21"/>
        </w:rPr>
        <w:t>江苏宜尔杉集团有限公司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检定</w:t>
      </w:r>
      <w:r>
        <w:rPr>
          <w:rFonts w:hint="eastAsia" w:asciiTheme="minorEastAsia" w:hAnsiTheme="minorEastAsia"/>
          <w:bCs/>
          <w:szCs w:val="21"/>
          <w:lang w:eastAsia="zh-CN"/>
        </w:rPr>
        <w:t>校准机构出具的“校准证书”要认真确认。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bCs/>
          <w:szCs w:val="21"/>
          <w:lang w:eastAsia="zh-CN"/>
        </w:rPr>
        <w:t>加强标准的学习和宣贯，将测量管理体系和其他体系相融合，提升企业的管理水平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bCs/>
          <w:szCs w:val="21"/>
          <w:lang w:eastAsia="zh-CN"/>
        </w:rPr>
        <w:t>进一步提高内审工作质量，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避免</w:t>
      </w:r>
      <w:r>
        <w:rPr>
          <w:rFonts w:hint="eastAsia" w:asciiTheme="minorEastAsia" w:hAnsiTheme="minorEastAsia"/>
          <w:bCs/>
          <w:szCs w:val="21"/>
          <w:lang w:eastAsia="zh-CN"/>
        </w:rPr>
        <w:t>内审工作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的形式化</w:t>
      </w:r>
      <w:r>
        <w:rPr>
          <w:rFonts w:hint="eastAsia" w:asciiTheme="minorEastAsia" w:hAnsiTheme="minorEastAsia"/>
          <w:bCs/>
          <w:szCs w:val="21"/>
          <w:lang w:eastAsia="zh-CN"/>
        </w:rPr>
        <w:t>，每年审核要有新的发现，真正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发现</w:t>
      </w:r>
      <w:r>
        <w:rPr>
          <w:rFonts w:hint="eastAsia" w:asciiTheme="minorEastAsia" w:hAnsiTheme="minorEastAsia"/>
          <w:bCs/>
          <w:szCs w:val="21"/>
          <w:lang w:eastAsia="zh-CN"/>
        </w:rPr>
        <w:t>企业在测量过程控制和测量设备使用、管理中存在的问题，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并举一反三解决问题。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283845</wp:posOffset>
            </wp:positionV>
            <wp:extent cx="885825" cy="361950"/>
            <wp:effectExtent l="0" t="0" r="0" b="0"/>
            <wp:wrapNone/>
            <wp:docPr id="4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签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（签字）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               </w:t>
      </w:r>
      <w:bookmarkStart w:id="11" w:name="_GoBack"/>
      <w:bookmarkEnd w:id="11"/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5904"/>
    <w:rsid w:val="001B1819"/>
    <w:rsid w:val="0031103B"/>
    <w:rsid w:val="006C629E"/>
    <w:rsid w:val="0072710A"/>
    <w:rsid w:val="00A46BC8"/>
    <w:rsid w:val="00CA7B12"/>
    <w:rsid w:val="00DA0D3C"/>
    <w:rsid w:val="00DA5899"/>
    <w:rsid w:val="00E76189"/>
    <w:rsid w:val="00F005CA"/>
    <w:rsid w:val="013247BA"/>
    <w:rsid w:val="013E454C"/>
    <w:rsid w:val="0157530C"/>
    <w:rsid w:val="015E2A6E"/>
    <w:rsid w:val="01BE6153"/>
    <w:rsid w:val="01D86899"/>
    <w:rsid w:val="01DB0A4A"/>
    <w:rsid w:val="020E1682"/>
    <w:rsid w:val="021B4FBF"/>
    <w:rsid w:val="02296F60"/>
    <w:rsid w:val="024D7580"/>
    <w:rsid w:val="026D5976"/>
    <w:rsid w:val="027A3744"/>
    <w:rsid w:val="028914FB"/>
    <w:rsid w:val="02992B23"/>
    <w:rsid w:val="02A211BD"/>
    <w:rsid w:val="02AB068F"/>
    <w:rsid w:val="02BC6DC9"/>
    <w:rsid w:val="02D92633"/>
    <w:rsid w:val="02DE4A70"/>
    <w:rsid w:val="036D6FE6"/>
    <w:rsid w:val="037415C5"/>
    <w:rsid w:val="03B34063"/>
    <w:rsid w:val="03E16A2F"/>
    <w:rsid w:val="03E31373"/>
    <w:rsid w:val="03ED150A"/>
    <w:rsid w:val="04211792"/>
    <w:rsid w:val="042B4EA4"/>
    <w:rsid w:val="042C295A"/>
    <w:rsid w:val="04931E8E"/>
    <w:rsid w:val="04DD0F5C"/>
    <w:rsid w:val="04E153B9"/>
    <w:rsid w:val="0503269F"/>
    <w:rsid w:val="051D57E2"/>
    <w:rsid w:val="05226A99"/>
    <w:rsid w:val="052C435B"/>
    <w:rsid w:val="054B0797"/>
    <w:rsid w:val="05770EAA"/>
    <w:rsid w:val="05865D0D"/>
    <w:rsid w:val="059A0E3F"/>
    <w:rsid w:val="05D41905"/>
    <w:rsid w:val="05EF09F9"/>
    <w:rsid w:val="05F431B6"/>
    <w:rsid w:val="061F0E37"/>
    <w:rsid w:val="0670650F"/>
    <w:rsid w:val="06834AEA"/>
    <w:rsid w:val="06D6102A"/>
    <w:rsid w:val="06F044EB"/>
    <w:rsid w:val="07061DF4"/>
    <w:rsid w:val="072376DA"/>
    <w:rsid w:val="072A5671"/>
    <w:rsid w:val="074F2F0D"/>
    <w:rsid w:val="07646D36"/>
    <w:rsid w:val="076B5FA5"/>
    <w:rsid w:val="07986995"/>
    <w:rsid w:val="079D256C"/>
    <w:rsid w:val="07E07087"/>
    <w:rsid w:val="082642D6"/>
    <w:rsid w:val="08332243"/>
    <w:rsid w:val="0854080B"/>
    <w:rsid w:val="08E30F75"/>
    <w:rsid w:val="091D332E"/>
    <w:rsid w:val="092847DD"/>
    <w:rsid w:val="09614D57"/>
    <w:rsid w:val="097F0A94"/>
    <w:rsid w:val="09AF19BC"/>
    <w:rsid w:val="09B304DB"/>
    <w:rsid w:val="09E3399F"/>
    <w:rsid w:val="0A0461E1"/>
    <w:rsid w:val="0A214F5B"/>
    <w:rsid w:val="0A386446"/>
    <w:rsid w:val="0A534AA1"/>
    <w:rsid w:val="0A5C54A2"/>
    <w:rsid w:val="0A721EB2"/>
    <w:rsid w:val="0A953AFF"/>
    <w:rsid w:val="0AA42F80"/>
    <w:rsid w:val="0AE304A5"/>
    <w:rsid w:val="0AEC362B"/>
    <w:rsid w:val="0B576C2A"/>
    <w:rsid w:val="0B857CAC"/>
    <w:rsid w:val="0B9C7F5C"/>
    <w:rsid w:val="0BA846B3"/>
    <w:rsid w:val="0BF2189A"/>
    <w:rsid w:val="0C190F4F"/>
    <w:rsid w:val="0C1C07E8"/>
    <w:rsid w:val="0C433ECE"/>
    <w:rsid w:val="0CB542E9"/>
    <w:rsid w:val="0D2C1C46"/>
    <w:rsid w:val="0D2E6477"/>
    <w:rsid w:val="0D335C3D"/>
    <w:rsid w:val="0D373BB6"/>
    <w:rsid w:val="0D8B5706"/>
    <w:rsid w:val="0D960CED"/>
    <w:rsid w:val="0D9F16A6"/>
    <w:rsid w:val="0DD07E43"/>
    <w:rsid w:val="0E02589B"/>
    <w:rsid w:val="0E0B6ED8"/>
    <w:rsid w:val="0E153722"/>
    <w:rsid w:val="0EA24F25"/>
    <w:rsid w:val="0EE16B36"/>
    <w:rsid w:val="0EFD2530"/>
    <w:rsid w:val="0F1D5A96"/>
    <w:rsid w:val="0F6364E3"/>
    <w:rsid w:val="0F6426CB"/>
    <w:rsid w:val="0F8B4F1B"/>
    <w:rsid w:val="0FA20C78"/>
    <w:rsid w:val="0FAB1F10"/>
    <w:rsid w:val="0FAF01B6"/>
    <w:rsid w:val="0FD168B8"/>
    <w:rsid w:val="0FD64275"/>
    <w:rsid w:val="0FE97001"/>
    <w:rsid w:val="0FF7317A"/>
    <w:rsid w:val="101D3FC0"/>
    <w:rsid w:val="10AD1B3C"/>
    <w:rsid w:val="10B3436A"/>
    <w:rsid w:val="111B5D3C"/>
    <w:rsid w:val="111B68FE"/>
    <w:rsid w:val="118457BD"/>
    <w:rsid w:val="11AD003F"/>
    <w:rsid w:val="11E85E2F"/>
    <w:rsid w:val="120614CE"/>
    <w:rsid w:val="12333216"/>
    <w:rsid w:val="125E330B"/>
    <w:rsid w:val="12EF7041"/>
    <w:rsid w:val="12F72E78"/>
    <w:rsid w:val="130A2E01"/>
    <w:rsid w:val="132B12A5"/>
    <w:rsid w:val="133216E6"/>
    <w:rsid w:val="134C27B0"/>
    <w:rsid w:val="134D7256"/>
    <w:rsid w:val="13553A22"/>
    <w:rsid w:val="136642BB"/>
    <w:rsid w:val="137F7C16"/>
    <w:rsid w:val="138B2845"/>
    <w:rsid w:val="13C80C90"/>
    <w:rsid w:val="13CF17A2"/>
    <w:rsid w:val="13E976E7"/>
    <w:rsid w:val="13EA5800"/>
    <w:rsid w:val="1414525A"/>
    <w:rsid w:val="14253C01"/>
    <w:rsid w:val="14584B03"/>
    <w:rsid w:val="14903D8F"/>
    <w:rsid w:val="14B2093D"/>
    <w:rsid w:val="14F74F7F"/>
    <w:rsid w:val="15272FE9"/>
    <w:rsid w:val="15316576"/>
    <w:rsid w:val="15603933"/>
    <w:rsid w:val="15735AD5"/>
    <w:rsid w:val="1590163C"/>
    <w:rsid w:val="15BC1DE9"/>
    <w:rsid w:val="16177139"/>
    <w:rsid w:val="16585BBD"/>
    <w:rsid w:val="166717FA"/>
    <w:rsid w:val="16A544A5"/>
    <w:rsid w:val="16B87421"/>
    <w:rsid w:val="16C55EF2"/>
    <w:rsid w:val="16EB7FE5"/>
    <w:rsid w:val="16EE3364"/>
    <w:rsid w:val="17174656"/>
    <w:rsid w:val="17297B2F"/>
    <w:rsid w:val="17BD14F1"/>
    <w:rsid w:val="17D82329"/>
    <w:rsid w:val="18200CF5"/>
    <w:rsid w:val="1826728C"/>
    <w:rsid w:val="186F71BB"/>
    <w:rsid w:val="18CC594A"/>
    <w:rsid w:val="18E46F36"/>
    <w:rsid w:val="18F021FA"/>
    <w:rsid w:val="190E64AF"/>
    <w:rsid w:val="19155A59"/>
    <w:rsid w:val="19513B1C"/>
    <w:rsid w:val="19C32386"/>
    <w:rsid w:val="19E668D8"/>
    <w:rsid w:val="1A343650"/>
    <w:rsid w:val="1A5B539B"/>
    <w:rsid w:val="1A8A286B"/>
    <w:rsid w:val="1A937833"/>
    <w:rsid w:val="1ACD69DB"/>
    <w:rsid w:val="1AFA51A3"/>
    <w:rsid w:val="1B5178EF"/>
    <w:rsid w:val="1B713146"/>
    <w:rsid w:val="1B945C2E"/>
    <w:rsid w:val="1BB140B3"/>
    <w:rsid w:val="1BB805F1"/>
    <w:rsid w:val="1BBA2B82"/>
    <w:rsid w:val="1BDB196F"/>
    <w:rsid w:val="1C103F46"/>
    <w:rsid w:val="1C163B1D"/>
    <w:rsid w:val="1C801319"/>
    <w:rsid w:val="1C983655"/>
    <w:rsid w:val="1D185C3B"/>
    <w:rsid w:val="1D4054C2"/>
    <w:rsid w:val="1D500005"/>
    <w:rsid w:val="1DC558B8"/>
    <w:rsid w:val="1DED0650"/>
    <w:rsid w:val="1E7458D9"/>
    <w:rsid w:val="1E90254B"/>
    <w:rsid w:val="1EA4298B"/>
    <w:rsid w:val="1EAA0D23"/>
    <w:rsid w:val="1EAF10D8"/>
    <w:rsid w:val="1ECD7DB4"/>
    <w:rsid w:val="1F0637F8"/>
    <w:rsid w:val="1F366B6D"/>
    <w:rsid w:val="1F375A9A"/>
    <w:rsid w:val="1F4A77C9"/>
    <w:rsid w:val="1F7A2217"/>
    <w:rsid w:val="1F7D0CEC"/>
    <w:rsid w:val="1F804265"/>
    <w:rsid w:val="1F8E320A"/>
    <w:rsid w:val="1FA502D1"/>
    <w:rsid w:val="1FC214EE"/>
    <w:rsid w:val="1FC3243B"/>
    <w:rsid w:val="20006D3E"/>
    <w:rsid w:val="201732B2"/>
    <w:rsid w:val="202A4FD6"/>
    <w:rsid w:val="20333DAB"/>
    <w:rsid w:val="207F705B"/>
    <w:rsid w:val="20833ADD"/>
    <w:rsid w:val="20A81257"/>
    <w:rsid w:val="20EA5EA3"/>
    <w:rsid w:val="212876D3"/>
    <w:rsid w:val="21305602"/>
    <w:rsid w:val="21323D1F"/>
    <w:rsid w:val="215A3275"/>
    <w:rsid w:val="2182613C"/>
    <w:rsid w:val="21CD12AB"/>
    <w:rsid w:val="21CD2136"/>
    <w:rsid w:val="21D94143"/>
    <w:rsid w:val="21F64CD9"/>
    <w:rsid w:val="220C10EF"/>
    <w:rsid w:val="2253559E"/>
    <w:rsid w:val="22640A54"/>
    <w:rsid w:val="230B3804"/>
    <w:rsid w:val="236958EA"/>
    <w:rsid w:val="23804493"/>
    <w:rsid w:val="23983375"/>
    <w:rsid w:val="239A53A4"/>
    <w:rsid w:val="23AC6D56"/>
    <w:rsid w:val="23BA05A0"/>
    <w:rsid w:val="23C20FA4"/>
    <w:rsid w:val="23F6244F"/>
    <w:rsid w:val="23FD0541"/>
    <w:rsid w:val="240371DE"/>
    <w:rsid w:val="24150EC9"/>
    <w:rsid w:val="242063CB"/>
    <w:rsid w:val="243E651A"/>
    <w:rsid w:val="24454805"/>
    <w:rsid w:val="24873C1A"/>
    <w:rsid w:val="248F4660"/>
    <w:rsid w:val="24AA2A7E"/>
    <w:rsid w:val="24BA20B8"/>
    <w:rsid w:val="24CD02CB"/>
    <w:rsid w:val="24FF092B"/>
    <w:rsid w:val="250B08F7"/>
    <w:rsid w:val="259905F8"/>
    <w:rsid w:val="25AD3F19"/>
    <w:rsid w:val="25C302BA"/>
    <w:rsid w:val="25DB6063"/>
    <w:rsid w:val="25EB5F9A"/>
    <w:rsid w:val="25ED7F0B"/>
    <w:rsid w:val="25FC604D"/>
    <w:rsid w:val="26177BDC"/>
    <w:rsid w:val="265027C1"/>
    <w:rsid w:val="2686510F"/>
    <w:rsid w:val="268B08B0"/>
    <w:rsid w:val="269B5E97"/>
    <w:rsid w:val="26AA26DC"/>
    <w:rsid w:val="26C57541"/>
    <w:rsid w:val="27010271"/>
    <w:rsid w:val="2736708B"/>
    <w:rsid w:val="275B0ED8"/>
    <w:rsid w:val="278325A1"/>
    <w:rsid w:val="278A6544"/>
    <w:rsid w:val="27A06702"/>
    <w:rsid w:val="28054A1B"/>
    <w:rsid w:val="284C1365"/>
    <w:rsid w:val="287B04CC"/>
    <w:rsid w:val="28973FBD"/>
    <w:rsid w:val="28E26AF4"/>
    <w:rsid w:val="28EC38B3"/>
    <w:rsid w:val="29032C9C"/>
    <w:rsid w:val="29086B61"/>
    <w:rsid w:val="29413708"/>
    <w:rsid w:val="295878AE"/>
    <w:rsid w:val="295A6408"/>
    <w:rsid w:val="296D6D37"/>
    <w:rsid w:val="29BE0542"/>
    <w:rsid w:val="29D17FE4"/>
    <w:rsid w:val="29EC7263"/>
    <w:rsid w:val="2A005A97"/>
    <w:rsid w:val="2A5D4F4D"/>
    <w:rsid w:val="2AC576E8"/>
    <w:rsid w:val="2AF00A0E"/>
    <w:rsid w:val="2B4308C9"/>
    <w:rsid w:val="2B6D0BBB"/>
    <w:rsid w:val="2B7429B1"/>
    <w:rsid w:val="2B81132F"/>
    <w:rsid w:val="2BE14B32"/>
    <w:rsid w:val="2C310317"/>
    <w:rsid w:val="2C3250D6"/>
    <w:rsid w:val="2C665509"/>
    <w:rsid w:val="2C8A45FE"/>
    <w:rsid w:val="2CB2439D"/>
    <w:rsid w:val="2D180438"/>
    <w:rsid w:val="2D253353"/>
    <w:rsid w:val="2D4A21D6"/>
    <w:rsid w:val="2D537957"/>
    <w:rsid w:val="2D6F1526"/>
    <w:rsid w:val="2D6F78FE"/>
    <w:rsid w:val="2D984D35"/>
    <w:rsid w:val="2DBA7263"/>
    <w:rsid w:val="2DC31624"/>
    <w:rsid w:val="2DD832DB"/>
    <w:rsid w:val="2DF22825"/>
    <w:rsid w:val="2E1B538D"/>
    <w:rsid w:val="2E3435F7"/>
    <w:rsid w:val="2E486802"/>
    <w:rsid w:val="2EB03C5C"/>
    <w:rsid w:val="2EDB7AA4"/>
    <w:rsid w:val="2F28760F"/>
    <w:rsid w:val="2F556EB0"/>
    <w:rsid w:val="2F705B93"/>
    <w:rsid w:val="2FE076BF"/>
    <w:rsid w:val="2FE72FB6"/>
    <w:rsid w:val="2FFB6D58"/>
    <w:rsid w:val="30032AB7"/>
    <w:rsid w:val="30293199"/>
    <w:rsid w:val="304038C3"/>
    <w:rsid w:val="30670884"/>
    <w:rsid w:val="30DB7B71"/>
    <w:rsid w:val="30DF796B"/>
    <w:rsid w:val="30EC4884"/>
    <w:rsid w:val="30EE3227"/>
    <w:rsid w:val="311870DE"/>
    <w:rsid w:val="313E7AE4"/>
    <w:rsid w:val="31504D7B"/>
    <w:rsid w:val="318B6A23"/>
    <w:rsid w:val="31C537A4"/>
    <w:rsid w:val="31D76267"/>
    <w:rsid w:val="3228008D"/>
    <w:rsid w:val="32281895"/>
    <w:rsid w:val="324564DD"/>
    <w:rsid w:val="327F281F"/>
    <w:rsid w:val="32D46EF3"/>
    <w:rsid w:val="32E70991"/>
    <w:rsid w:val="3303286A"/>
    <w:rsid w:val="33087358"/>
    <w:rsid w:val="331F1657"/>
    <w:rsid w:val="333541B0"/>
    <w:rsid w:val="333A28F2"/>
    <w:rsid w:val="336C1AEA"/>
    <w:rsid w:val="342229E3"/>
    <w:rsid w:val="34410E68"/>
    <w:rsid w:val="346C7D3B"/>
    <w:rsid w:val="348E5DC3"/>
    <w:rsid w:val="34977AD1"/>
    <w:rsid w:val="34B34D73"/>
    <w:rsid w:val="34D22145"/>
    <w:rsid w:val="34F13FB1"/>
    <w:rsid w:val="35585F38"/>
    <w:rsid w:val="359B029C"/>
    <w:rsid w:val="35FF7F4D"/>
    <w:rsid w:val="363E7D57"/>
    <w:rsid w:val="36641B2E"/>
    <w:rsid w:val="36907E69"/>
    <w:rsid w:val="36A15C9B"/>
    <w:rsid w:val="36B26758"/>
    <w:rsid w:val="36BC473F"/>
    <w:rsid w:val="36DB1458"/>
    <w:rsid w:val="36EA56EE"/>
    <w:rsid w:val="36FE2636"/>
    <w:rsid w:val="37633B9C"/>
    <w:rsid w:val="37986447"/>
    <w:rsid w:val="37B31890"/>
    <w:rsid w:val="37BC6B81"/>
    <w:rsid w:val="37CA6579"/>
    <w:rsid w:val="37DE53B7"/>
    <w:rsid w:val="385E0962"/>
    <w:rsid w:val="386E274D"/>
    <w:rsid w:val="38795731"/>
    <w:rsid w:val="38E2051B"/>
    <w:rsid w:val="38EC1F41"/>
    <w:rsid w:val="39467259"/>
    <w:rsid w:val="39571ABA"/>
    <w:rsid w:val="39A42813"/>
    <w:rsid w:val="39C140BF"/>
    <w:rsid w:val="39D10145"/>
    <w:rsid w:val="39DA66BF"/>
    <w:rsid w:val="39E75793"/>
    <w:rsid w:val="39FF7D3E"/>
    <w:rsid w:val="3A150FC7"/>
    <w:rsid w:val="3A3E1947"/>
    <w:rsid w:val="3A612CB2"/>
    <w:rsid w:val="3A68221B"/>
    <w:rsid w:val="3A7F2B43"/>
    <w:rsid w:val="3A8A14B9"/>
    <w:rsid w:val="3A9233B6"/>
    <w:rsid w:val="3AA24569"/>
    <w:rsid w:val="3AB76DDA"/>
    <w:rsid w:val="3AE91A2F"/>
    <w:rsid w:val="3AED454D"/>
    <w:rsid w:val="3AF41DC7"/>
    <w:rsid w:val="3B2304CC"/>
    <w:rsid w:val="3B265548"/>
    <w:rsid w:val="3B3B2B3E"/>
    <w:rsid w:val="3B6E1C5C"/>
    <w:rsid w:val="3B7066BD"/>
    <w:rsid w:val="3B7F36FE"/>
    <w:rsid w:val="3B9A3462"/>
    <w:rsid w:val="3BC3110B"/>
    <w:rsid w:val="3BDB6B42"/>
    <w:rsid w:val="3C5C39BA"/>
    <w:rsid w:val="3C7C6829"/>
    <w:rsid w:val="3C9E18AD"/>
    <w:rsid w:val="3CA446A4"/>
    <w:rsid w:val="3CB83A94"/>
    <w:rsid w:val="3CDB7931"/>
    <w:rsid w:val="3CDD75CE"/>
    <w:rsid w:val="3CEA621F"/>
    <w:rsid w:val="3CF728C1"/>
    <w:rsid w:val="3D222A37"/>
    <w:rsid w:val="3D442E8F"/>
    <w:rsid w:val="3D5B1EDA"/>
    <w:rsid w:val="3D7D1FF8"/>
    <w:rsid w:val="3D7F7988"/>
    <w:rsid w:val="3DD57340"/>
    <w:rsid w:val="3DE848AC"/>
    <w:rsid w:val="3DEA3577"/>
    <w:rsid w:val="3DF85497"/>
    <w:rsid w:val="3E197225"/>
    <w:rsid w:val="3E257A5C"/>
    <w:rsid w:val="3E322F4C"/>
    <w:rsid w:val="3E422BEB"/>
    <w:rsid w:val="3E4608AC"/>
    <w:rsid w:val="3E7438A9"/>
    <w:rsid w:val="3E7B61EE"/>
    <w:rsid w:val="3E9637F9"/>
    <w:rsid w:val="3E9B6386"/>
    <w:rsid w:val="3EE26492"/>
    <w:rsid w:val="3EF87BB5"/>
    <w:rsid w:val="3F5A6602"/>
    <w:rsid w:val="3F5B5793"/>
    <w:rsid w:val="3F7B0A5A"/>
    <w:rsid w:val="3FA95FDF"/>
    <w:rsid w:val="3FBE68D2"/>
    <w:rsid w:val="3FF15979"/>
    <w:rsid w:val="3FF24351"/>
    <w:rsid w:val="400F44FB"/>
    <w:rsid w:val="40200D8D"/>
    <w:rsid w:val="4021650D"/>
    <w:rsid w:val="406A0ECD"/>
    <w:rsid w:val="407651AF"/>
    <w:rsid w:val="408D41DB"/>
    <w:rsid w:val="40BA6ECB"/>
    <w:rsid w:val="40D717F4"/>
    <w:rsid w:val="40E20B1A"/>
    <w:rsid w:val="412131AE"/>
    <w:rsid w:val="412454A1"/>
    <w:rsid w:val="41332977"/>
    <w:rsid w:val="41D77565"/>
    <w:rsid w:val="4213236B"/>
    <w:rsid w:val="42361854"/>
    <w:rsid w:val="423815DC"/>
    <w:rsid w:val="425A2D75"/>
    <w:rsid w:val="430D0440"/>
    <w:rsid w:val="43360337"/>
    <w:rsid w:val="43837E2D"/>
    <w:rsid w:val="43A34084"/>
    <w:rsid w:val="43A723C8"/>
    <w:rsid w:val="44100E39"/>
    <w:rsid w:val="44190A76"/>
    <w:rsid w:val="441B2E9F"/>
    <w:rsid w:val="442C3C20"/>
    <w:rsid w:val="44382029"/>
    <w:rsid w:val="444F3986"/>
    <w:rsid w:val="445A7BE6"/>
    <w:rsid w:val="44920564"/>
    <w:rsid w:val="4498171E"/>
    <w:rsid w:val="449F75EC"/>
    <w:rsid w:val="44F028D0"/>
    <w:rsid w:val="451F5AC9"/>
    <w:rsid w:val="45A35F37"/>
    <w:rsid w:val="45B40CD9"/>
    <w:rsid w:val="45C32612"/>
    <w:rsid w:val="45DA4EDC"/>
    <w:rsid w:val="45EF6C8B"/>
    <w:rsid w:val="45F00858"/>
    <w:rsid w:val="45FB76BD"/>
    <w:rsid w:val="466C3F39"/>
    <w:rsid w:val="46A67243"/>
    <w:rsid w:val="46F437A7"/>
    <w:rsid w:val="475D561B"/>
    <w:rsid w:val="4760353F"/>
    <w:rsid w:val="476C3F78"/>
    <w:rsid w:val="47940E35"/>
    <w:rsid w:val="47B06621"/>
    <w:rsid w:val="47F826FC"/>
    <w:rsid w:val="48022B02"/>
    <w:rsid w:val="480342A8"/>
    <w:rsid w:val="480A77CE"/>
    <w:rsid w:val="481F7B1E"/>
    <w:rsid w:val="4856489C"/>
    <w:rsid w:val="4862531A"/>
    <w:rsid w:val="48861812"/>
    <w:rsid w:val="489623A8"/>
    <w:rsid w:val="490D48D4"/>
    <w:rsid w:val="49245EC4"/>
    <w:rsid w:val="49907CC3"/>
    <w:rsid w:val="49A152DA"/>
    <w:rsid w:val="49B24898"/>
    <w:rsid w:val="49EC4426"/>
    <w:rsid w:val="4A194989"/>
    <w:rsid w:val="4A48195B"/>
    <w:rsid w:val="4A4C1F70"/>
    <w:rsid w:val="4A600C8C"/>
    <w:rsid w:val="4A60450C"/>
    <w:rsid w:val="4A854B04"/>
    <w:rsid w:val="4A863577"/>
    <w:rsid w:val="4A935C00"/>
    <w:rsid w:val="4A9B6C4E"/>
    <w:rsid w:val="4AD408C4"/>
    <w:rsid w:val="4AEC59BC"/>
    <w:rsid w:val="4AF96C5C"/>
    <w:rsid w:val="4B0F4E1F"/>
    <w:rsid w:val="4B1B6EF3"/>
    <w:rsid w:val="4B29090C"/>
    <w:rsid w:val="4B4E390A"/>
    <w:rsid w:val="4B5E052C"/>
    <w:rsid w:val="4BA03299"/>
    <w:rsid w:val="4BBA29CE"/>
    <w:rsid w:val="4BFB349F"/>
    <w:rsid w:val="4C2D4177"/>
    <w:rsid w:val="4C3833F6"/>
    <w:rsid w:val="4C75303F"/>
    <w:rsid w:val="4C7A1277"/>
    <w:rsid w:val="4C7F4E4D"/>
    <w:rsid w:val="4D1A3505"/>
    <w:rsid w:val="4D1C18DA"/>
    <w:rsid w:val="4D7C24D1"/>
    <w:rsid w:val="4D8623D6"/>
    <w:rsid w:val="4DAA5E20"/>
    <w:rsid w:val="4DB778D8"/>
    <w:rsid w:val="4DC371E7"/>
    <w:rsid w:val="4DC54B37"/>
    <w:rsid w:val="4DCA4DEF"/>
    <w:rsid w:val="4DE16AE4"/>
    <w:rsid w:val="4DFD6901"/>
    <w:rsid w:val="4E4E4A69"/>
    <w:rsid w:val="4E703FD6"/>
    <w:rsid w:val="4EE50CF2"/>
    <w:rsid w:val="4EEC38DE"/>
    <w:rsid w:val="4EFE4B33"/>
    <w:rsid w:val="4F0213A5"/>
    <w:rsid w:val="4F480790"/>
    <w:rsid w:val="4F6C05EA"/>
    <w:rsid w:val="4FBD4AC3"/>
    <w:rsid w:val="50171262"/>
    <w:rsid w:val="501C05D8"/>
    <w:rsid w:val="50385ACD"/>
    <w:rsid w:val="50957A66"/>
    <w:rsid w:val="50D47012"/>
    <w:rsid w:val="50DB56DC"/>
    <w:rsid w:val="50E02A4C"/>
    <w:rsid w:val="50EF0EF2"/>
    <w:rsid w:val="512B6D2E"/>
    <w:rsid w:val="513E3FCA"/>
    <w:rsid w:val="51ED751B"/>
    <w:rsid w:val="51F816FA"/>
    <w:rsid w:val="5223584A"/>
    <w:rsid w:val="525B4CD0"/>
    <w:rsid w:val="529628C9"/>
    <w:rsid w:val="529937EC"/>
    <w:rsid w:val="52AF2D9E"/>
    <w:rsid w:val="52C347F0"/>
    <w:rsid w:val="52C37514"/>
    <w:rsid w:val="52E87E25"/>
    <w:rsid w:val="531E73CA"/>
    <w:rsid w:val="53436173"/>
    <w:rsid w:val="53841C81"/>
    <w:rsid w:val="5394404D"/>
    <w:rsid w:val="53C32EC6"/>
    <w:rsid w:val="53CF156B"/>
    <w:rsid w:val="53DE4B1A"/>
    <w:rsid w:val="53F22302"/>
    <w:rsid w:val="53F7586D"/>
    <w:rsid w:val="542A7BB2"/>
    <w:rsid w:val="54A92416"/>
    <w:rsid w:val="54AA10E5"/>
    <w:rsid w:val="54D2515D"/>
    <w:rsid w:val="54D64578"/>
    <w:rsid w:val="55106D11"/>
    <w:rsid w:val="553161D4"/>
    <w:rsid w:val="55451FD5"/>
    <w:rsid w:val="55517A42"/>
    <w:rsid w:val="55595386"/>
    <w:rsid w:val="55755FA7"/>
    <w:rsid w:val="559B57DB"/>
    <w:rsid w:val="55CB61C9"/>
    <w:rsid w:val="55E91FCE"/>
    <w:rsid w:val="55FF68F5"/>
    <w:rsid w:val="565C7AD0"/>
    <w:rsid w:val="5666343B"/>
    <w:rsid w:val="567C7787"/>
    <w:rsid w:val="568348B8"/>
    <w:rsid w:val="56D45B47"/>
    <w:rsid w:val="57036942"/>
    <w:rsid w:val="571B4C5F"/>
    <w:rsid w:val="575759FD"/>
    <w:rsid w:val="576F3376"/>
    <w:rsid w:val="57CF47B7"/>
    <w:rsid w:val="57D646F6"/>
    <w:rsid w:val="57F4138C"/>
    <w:rsid w:val="58232D3E"/>
    <w:rsid w:val="584A73B0"/>
    <w:rsid w:val="58621AEA"/>
    <w:rsid w:val="594E4585"/>
    <w:rsid w:val="59604E01"/>
    <w:rsid w:val="596E0CE2"/>
    <w:rsid w:val="598E04C7"/>
    <w:rsid w:val="59A73658"/>
    <w:rsid w:val="59CB7536"/>
    <w:rsid w:val="59ED47CB"/>
    <w:rsid w:val="5A015438"/>
    <w:rsid w:val="5A0A4473"/>
    <w:rsid w:val="5A216A3C"/>
    <w:rsid w:val="5A5F7040"/>
    <w:rsid w:val="5AE84791"/>
    <w:rsid w:val="5B1F0F33"/>
    <w:rsid w:val="5BED2DE3"/>
    <w:rsid w:val="5BF3015B"/>
    <w:rsid w:val="5C44794E"/>
    <w:rsid w:val="5C514050"/>
    <w:rsid w:val="5C9D4A6B"/>
    <w:rsid w:val="5CA07509"/>
    <w:rsid w:val="5CEF042D"/>
    <w:rsid w:val="5D14692C"/>
    <w:rsid w:val="5D2C1285"/>
    <w:rsid w:val="5D330CE3"/>
    <w:rsid w:val="5D3F7BD2"/>
    <w:rsid w:val="5D564A32"/>
    <w:rsid w:val="5D604FD0"/>
    <w:rsid w:val="5DA350E7"/>
    <w:rsid w:val="5DBF1669"/>
    <w:rsid w:val="5DE06165"/>
    <w:rsid w:val="5DF84819"/>
    <w:rsid w:val="5E242CE4"/>
    <w:rsid w:val="5E9D7EC4"/>
    <w:rsid w:val="5EDF4E8B"/>
    <w:rsid w:val="5EEB3C80"/>
    <w:rsid w:val="5EF421CE"/>
    <w:rsid w:val="5EF52E59"/>
    <w:rsid w:val="5F116434"/>
    <w:rsid w:val="5F1621CA"/>
    <w:rsid w:val="5F190737"/>
    <w:rsid w:val="5F1C48A4"/>
    <w:rsid w:val="5F2F7528"/>
    <w:rsid w:val="5F303320"/>
    <w:rsid w:val="5F3118D5"/>
    <w:rsid w:val="5F57679D"/>
    <w:rsid w:val="5F6575BD"/>
    <w:rsid w:val="5F6733FB"/>
    <w:rsid w:val="5F9B383C"/>
    <w:rsid w:val="5FF67F82"/>
    <w:rsid w:val="60235D6A"/>
    <w:rsid w:val="60326F4A"/>
    <w:rsid w:val="60352D8A"/>
    <w:rsid w:val="6072682C"/>
    <w:rsid w:val="60730C6F"/>
    <w:rsid w:val="609F5B6F"/>
    <w:rsid w:val="60A008D2"/>
    <w:rsid w:val="60A90B88"/>
    <w:rsid w:val="60C87879"/>
    <w:rsid w:val="60F01A01"/>
    <w:rsid w:val="611722FF"/>
    <w:rsid w:val="6143524C"/>
    <w:rsid w:val="61561E20"/>
    <w:rsid w:val="61B22A62"/>
    <w:rsid w:val="61FB5C27"/>
    <w:rsid w:val="6210296D"/>
    <w:rsid w:val="621C36CE"/>
    <w:rsid w:val="62EE4635"/>
    <w:rsid w:val="63087391"/>
    <w:rsid w:val="631C2ECC"/>
    <w:rsid w:val="638E2056"/>
    <w:rsid w:val="63BE0875"/>
    <w:rsid w:val="63D66203"/>
    <w:rsid w:val="64001C29"/>
    <w:rsid w:val="64014A85"/>
    <w:rsid w:val="640D4754"/>
    <w:rsid w:val="640D666E"/>
    <w:rsid w:val="640F2E1C"/>
    <w:rsid w:val="642F45B7"/>
    <w:rsid w:val="6430471A"/>
    <w:rsid w:val="643569AD"/>
    <w:rsid w:val="645C3CC7"/>
    <w:rsid w:val="649F5A67"/>
    <w:rsid w:val="650D5E38"/>
    <w:rsid w:val="65106539"/>
    <w:rsid w:val="652125F4"/>
    <w:rsid w:val="657442CB"/>
    <w:rsid w:val="657E5829"/>
    <w:rsid w:val="65A93F15"/>
    <w:rsid w:val="65E264DD"/>
    <w:rsid w:val="66530063"/>
    <w:rsid w:val="665F7CE1"/>
    <w:rsid w:val="667C0CD6"/>
    <w:rsid w:val="668E58AA"/>
    <w:rsid w:val="66FA7813"/>
    <w:rsid w:val="67061A78"/>
    <w:rsid w:val="67612C42"/>
    <w:rsid w:val="676E5748"/>
    <w:rsid w:val="67764BDB"/>
    <w:rsid w:val="67974BCE"/>
    <w:rsid w:val="67AA3294"/>
    <w:rsid w:val="681555B4"/>
    <w:rsid w:val="6816690A"/>
    <w:rsid w:val="68335CA6"/>
    <w:rsid w:val="684B48DF"/>
    <w:rsid w:val="6889264A"/>
    <w:rsid w:val="688F437C"/>
    <w:rsid w:val="68DE4AE6"/>
    <w:rsid w:val="68FD6559"/>
    <w:rsid w:val="69355151"/>
    <w:rsid w:val="694F5E3B"/>
    <w:rsid w:val="699376C2"/>
    <w:rsid w:val="69937F90"/>
    <w:rsid w:val="6A3852B0"/>
    <w:rsid w:val="6A425C2F"/>
    <w:rsid w:val="6A541310"/>
    <w:rsid w:val="6A583AB0"/>
    <w:rsid w:val="6A6E19FF"/>
    <w:rsid w:val="6A780BA1"/>
    <w:rsid w:val="6B5B7872"/>
    <w:rsid w:val="6BF35BA7"/>
    <w:rsid w:val="6C3259A2"/>
    <w:rsid w:val="6C786A4F"/>
    <w:rsid w:val="6C9A36A7"/>
    <w:rsid w:val="6CC006B2"/>
    <w:rsid w:val="6CCB60CF"/>
    <w:rsid w:val="6CD66EAA"/>
    <w:rsid w:val="6CDC26BF"/>
    <w:rsid w:val="6CF05018"/>
    <w:rsid w:val="6D062C4D"/>
    <w:rsid w:val="6D0E1BBB"/>
    <w:rsid w:val="6D4E1B6C"/>
    <w:rsid w:val="6D556C8B"/>
    <w:rsid w:val="6D577C94"/>
    <w:rsid w:val="6D7D76CE"/>
    <w:rsid w:val="6D8124F1"/>
    <w:rsid w:val="6D9201DC"/>
    <w:rsid w:val="6DB229AC"/>
    <w:rsid w:val="6DE94FBD"/>
    <w:rsid w:val="6DFD0704"/>
    <w:rsid w:val="6DFF44F4"/>
    <w:rsid w:val="6E294534"/>
    <w:rsid w:val="6E4E174A"/>
    <w:rsid w:val="6EA00B5A"/>
    <w:rsid w:val="6F3B7911"/>
    <w:rsid w:val="6F457FF4"/>
    <w:rsid w:val="6FB519A1"/>
    <w:rsid w:val="6FD26E3B"/>
    <w:rsid w:val="6FF42DA6"/>
    <w:rsid w:val="708F3E73"/>
    <w:rsid w:val="70B36CCA"/>
    <w:rsid w:val="70E613AA"/>
    <w:rsid w:val="71383E25"/>
    <w:rsid w:val="713D38E0"/>
    <w:rsid w:val="71445EA7"/>
    <w:rsid w:val="715042F5"/>
    <w:rsid w:val="71677C47"/>
    <w:rsid w:val="716A2286"/>
    <w:rsid w:val="717A06D3"/>
    <w:rsid w:val="71AD64B1"/>
    <w:rsid w:val="71B83AB7"/>
    <w:rsid w:val="720C3609"/>
    <w:rsid w:val="72302EF5"/>
    <w:rsid w:val="726E5FF4"/>
    <w:rsid w:val="72EE3CEF"/>
    <w:rsid w:val="73146A93"/>
    <w:rsid w:val="734A5ED2"/>
    <w:rsid w:val="7425470C"/>
    <w:rsid w:val="74381BEA"/>
    <w:rsid w:val="744761BF"/>
    <w:rsid w:val="74695854"/>
    <w:rsid w:val="74C41B99"/>
    <w:rsid w:val="7519732C"/>
    <w:rsid w:val="751C31B3"/>
    <w:rsid w:val="757F0AFB"/>
    <w:rsid w:val="75B65DA4"/>
    <w:rsid w:val="75D27F7B"/>
    <w:rsid w:val="75F971C5"/>
    <w:rsid w:val="75FA6C96"/>
    <w:rsid w:val="761D3EA2"/>
    <w:rsid w:val="76255897"/>
    <w:rsid w:val="7639683B"/>
    <w:rsid w:val="764B7EC3"/>
    <w:rsid w:val="76580BAF"/>
    <w:rsid w:val="766E7517"/>
    <w:rsid w:val="767D630F"/>
    <w:rsid w:val="768341DE"/>
    <w:rsid w:val="76963210"/>
    <w:rsid w:val="76A21BCA"/>
    <w:rsid w:val="76AB0012"/>
    <w:rsid w:val="77061D5B"/>
    <w:rsid w:val="77194D7D"/>
    <w:rsid w:val="77531A5C"/>
    <w:rsid w:val="775A725D"/>
    <w:rsid w:val="7776715E"/>
    <w:rsid w:val="77777FE7"/>
    <w:rsid w:val="77792585"/>
    <w:rsid w:val="779C1B86"/>
    <w:rsid w:val="77AA025D"/>
    <w:rsid w:val="77B21FC0"/>
    <w:rsid w:val="77D84089"/>
    <w:rsid w:val="77DB34D6"/>
    <w:rsid w:val="780C1548"/>
    <w:rsid w:val="786D76B7"/>
    <w:rsid w:val="78712932"/>
    <w:rsid w:val="78997470"/>
    <w:rsid w:val="78FF3087"/>
    <w:rsid w:val="7906009D"/>
    <w:rsid w:val="7911546C"/>
    <w:rsid w:val="79276076"/>
    <w:rsid w:val="79432AD8"/>
    <w:rsid w:val="797767D0"/>
    <w:rsid w:val="798D6D8C"/>
    <w:rsid w:val="79B46552"/>
    <w:rsid w:val="79C50DBE"/>
    <w:rsid w:val="79DA5ECB"/>
    <w:rsid w:val="7A0661AC"/>
    <w:rsid w:val="7A390147"/>
    <w:rsid w:val="7A794EC4"/>
    <w:rsid w:val="7A7C62AF"/>
    <w:rsid w:val="7A7F1A2E"/>
    <w:rsid w:val="7A935522"/>
    <w:rsid w:val="7AC50611"/>
    <w:rsid w:val="7AC51B92"/>
    <w:rsid w:val="7AC668A2"/>
    <w:rsid w:val="7AD63F05"/>
    <w:rsid w:val="7AEA1178"/>
    <w:rsid w:val="7B285454"/>
    <w:rsid w:val="7B3C2303"/>
    <w:rsid w:val="7B3C28EE"/>
    <w:rsid w:val="7B3D55F1"/>
    <w:rsid w:val="7B6F137F"/>
    <w:rsid w:val="7B731491"/>
    <w:rsid w:val="7BB50B8F"/>
    <w:rsid w:val="7BBA6990"/>
    <w:rsid w:val="7C265453"/>
    <w:rsid w:val="7C2C5935"/>
    <w:rsid w:val="7C5C66F7"/>
    <w:rsid w:val="7C887718"/>
    <w:rsid w:val="7CB06F65"/>
    <w:rsid w:val="7CBC1BC6"/>
    <w:rsid w:val="7CC00AC1"/>
    <w:rsid w:val="7CFB0D9E"/>
    <w:rsid w:val="7D167087"/>
    <w:rsid w:val="7D3F29E1"/>
    <w:rsid w:val="7D652D59"/>
    <w:rsid w:val="7D69150F"/>
    <w:rsid w:val="7D6B4770"/>
    <w:rsid w:val="7D711645"/>
    <w:rsid w:val="7D7861B6"/>
    <w:rsid w:val="7D7C754E"/>
    <w:rsid w:val="7D976F5B"/>
    <w:rsid w:val="7DDD1E9C"/>
    <w:rsid w:val="7DEE063E"/>
    <w:rsid w:val="7DFC4408"/>
    <w:rsid w:val="7E294E9D"/>
    <w:rsid w:val="7E3A33F3"/>
    <w:rsid w:val="7EAD5930"/>
    <w:rsid w:val="7EDC4C6A"/>
    <w:rsid w:val="7F2643FF"/>
    <w:rsid w:val="7F426BD0"/>
    <w:rsid w:val="7F6B0D39"/>
    <w:rsid w:val="7F7634F4"/>
    <w:rsid w:val="7F795EDA"/>
    <w:rsid w:val="7FCA68C0"/>
    <w:rsid w:val="7FDD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2021-09-28T01:23:32Z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41BF53562A164EA999CA58664813D2C8</vt:lpwstr>
  </property>
</Properties>
</file>