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0416-2019-QJEO-2021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四川中科正旋建设工程有限责任公司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EC:,E:,O: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91510107MA62L1W94P</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EC:72,E:72,O:72</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四川中科正旋建设工程有限责任公司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EC：资质范围内地基基础工程施工承包，施工劳务分包</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E：资质范围内地基基础工程施工承包，施工劳务分包及相关环境管理活动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O：资质范围内地基基础工程施工承包，施工劳务分包及相关职业健康安全管理活动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成都市武侯区龙爪小区10栋2单元1层121号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重庆市南岸区融侨半岛风临洲B3区商业中心B3-3-2（重庆正旋总公司）</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四川中科正旋建设工程有限责任公司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EC:,E:,O: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重庆市南岸区融侨半岛风临洲B3区商业中心B3-3-2（重庆正旋公司）</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